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823FC2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OUTUBRO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4E3263">
        <w:rPr>
          <w:rFonts w:eastAsia="Lucida Sans Unicode" w:cs="Arial"/>
          <w:kern w:val="2"/>
          <w:sz w:val="24"/>
          <w:szCs w:val="24"/>
          <w:lang w:eastAsia="pt-BR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5C6E96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C6E96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23FC2" w:rsidRPr="006979F3" w:rsidRDefault="00977490" w:rsidP="00823FC2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823FC2" w:rsidRPr="006979F3">
        <w:rPr>
          <w:rFonts w:eastAsia="Calibri" w:cs="Arial"/>
          <w:sz w:val="24"/>
          <w:szCs w:val="24"/>
        </w:rPr>
        <w:t xml:space="preserve">Prestação de Contas </w:t>
      </w:r>
      <w:r w:rsidR="00823FC2">
        <w:rPr>
          <w:rFonts w:eastAsia="Calibri" w:cs="Arial"/>
          <w:sz w:val="24"/>
          <w:szCs w:val="24"/>
        </w:rPr>
        <w:t>do</w:t>
      </w:r>
      <w:r w:rsidR="00823FC2" w:rsidRPr="006979F3">
        <w:rPr>
          <w:rFonts w:eastAsia="Calibri" w:cs="Arial"/>
          <w:sz w:val="24"/>
          <w:szCs w:val="24"/>
        </w:rPr>
        <w:t xml:space="preserve"> Conv</w:t>
      </w:r>
      <w:r w:rsidR="00823FC2">
        <w:rPr>
          <w:rFonts w:eastAsia="Calibri" w:cs="Arial"/>
          <w:sz w:val="24"/>
          <w:szCs w:val="24"/>
        </w:rPr>
        <w:t>ê</w:t>
      </w:r>
      <w:r w:rsidR="00823FC2" w:rsidRPr="006979F3">
        <w:rPr>
          <w:rFonts w:eastAsia="Calibri" w:cs="Arial"/>
          <w:sz w:val="24"/>
          <w:szCs w:val="24"/>
        </w:rPr>
        <w:t>nio nº 539/2019 – Emenda nº 2019.779.011-4</w:t>
      </w:r>
      <w:r w:rsidR="00823FC2">
        <w:rPr>
          <w:rFonts w:eastAsia="Calibri" w:cs="Arial"/>
          <w:sz w:val="24"/>
          <w:szCs w:val="24"/>
        </w:rPr>
        <w:t>, do</w:t>
      </w:r>
      <w:r w:rsidR="00823FC2" w:rsidRPr="006979F3">
        <w:rPr>
          <w:rFonts w:eastAsia="Calibri" w:cs="Arial"/>
          <w:sz w:val="24"/>
          <w:szCs w:val="24"/>
        </w:rPr>
        <w:t xml:space="preserve"> Deputado Estadual </w:t>
      </w:r>
      <w:proofErr w:type="spellStart"/>
      <w:r w:rsidR="00823FC2" w:rsidRPr="006979F3">
        <w:rPr>
          <w:rFonts w:eastAsia="Calibri" w:cs="Arial"/>
          <w:sz w:val="24"/>
          <w:szCs w:val="24"/>
        </w:rPr>
        <w:t>Teonilio</w:t>
      </w:r>
      <w:proofErr w:type="spellEnd"/>
      <w:r w:rsidR="00823FC2" w:rsidRPr="006979F3">
        <w:rPr>
          <w:rFonts w:eastAsia="Calibri" w:cs="Arial"/>
          <w:sz w:val="24"/>
          <w:szCs w:val="24"/>
        </w:rPr>
        <w:t xml:space="preserve"> Barba</w:t>
      </w:r>
      <w:r w:rsidR="00823FC2">
        <w:rPr>
          <w:rFonts w:eastAsia="Calibri" w:cs="Arial"/>
          <w:sz w:val="24"/>
          <w:szCs w:val="24"/>
        </w:rPr>
        <w:t>. Objeto: c</w:t>
      </w:r>
      <w:r w:rsidR="00823FC2" w:rsidRPr="006979F3">
        <w:rPr>
          <w:rFonts w:eastAsia="Calibri" w:cs="Arial"/>
          <w:sz w:val="24"/>
          <w:szCs w:val="24"/>
        </w:rPr>
        <w:t xml:space="preserve">usteio -  pagamento de prestação de serviço - Contrato de Gestão n.º 001/2018 formalizado com a Fundação do ABC para desenvolvimento de ações de saúde no âmbito do Complexo Hospitalar do Município de São Bernardo do Campo, sendo R$ 300.000,00 para HC;  </w:t>
      </w:r>
    </w:p>
    <w:p w:rsidR="00977490" w:rsidRPr="00CF1C8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  <w:bookmarkStart w:id="0" w:name="_GoBack"/>
      <w:bookmarkEnd w:id="0"/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4E3263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4E3263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823FC2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C6E96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56</cp:revision>
  <dcterms:created xsi:type="dcterms:W3CDTF">2018-01-31T13:54:00Z</dcterms:created>
  <dcterms:modified xsi:type="dcterms:W3CDTF">2020-10-27T19:28:00Z</dcterms:modified>
</cp:coreProperties>
</file>