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284" w:right="5" w:firstLine="0"/>
        <w:jc w:val="center"/>
        <w:rPr>
          <w:b w:val="1"/>
          <w:bCs w:val="1"/>
          <w:sz w:val="24"/>
          <w:szCs w:val="24"/>
        </w:rPr>
      </w:pPr>
      <w:r w:rsidDel="00000000" w:rsidR="00000000" w:rsidRPr="00000000">
        <w:rPr>
          <w:b w:val="1"/>
          <w:bCs w:val="1"/>
          <w:sz w:val="24"/>
          <w:szCs w:val="24"/>
          <w:rtl w:val="0"/>
        </w:rPr>
        <w:t xml:space="preserve"> EDITAL DE CHAMAMENTO PÚBLICO SC Nº 05/2026 - FOMENTO AOS TERRITÓRIOS: AÇÕES ARTÍSTICO-CULTURAIS CONTINUADAS E EDIÇÕES</w:t>
      </w:r>
    </w:p>
    <w:p w:rsidR="00000000" w:rsidDel="00000000" w:rsidP="00000000" w:rsidRDefault="00000000" w:rsidRPr="00000000" w14:paraId="00000002">
      <w:pPr>
        <w:ind w:left="284" w:right="5" w:firstLine="0"/>
        <w:jc w:val="center"/>
        <w:rPr>
          <w:b w:val="1"/>
          <w:bCs w:val="1"/>
          <w:sz w:val="24"/>
          <w:szCs w:val="24"/>
        </w:rPr>
      </w:pPr>
      <w:r w:rsidDel="00000000" w:rsidR="00000000" w:rsidRPr="00000000">
        <w:rPr>
          <w:b w:val="1"/>
          <w:bCs w:val="1"/>
          <w:sz w:val="24"/>
          <w:szCs w:val="24"/>
          <w:rtl w:val="0"/>
        </w:rPr>
        <w:t xml:space="preserve">ANEXO XVII</w:t>
      </w:r>
    </w:p>
    <w:p w:rsidR="00000000" w:rsidDel="00000000" w:rsidP="00000000" w:rsidRDefault="00000000" w:rsidRPr="00000000" w14:paraId="00000003">
      <w:pPr>
        <w:spacing w:after="0" w:lineRule="auto"/>
        <w:ind w:left="284" w:right="6" w:firstLine="0"/>
        <w:jc w:val="center"/>
        <w:rPr>
          <w:b w:val="1"/>
          <w:bCs w:val="1"/>
          <w:sz w:val="24"/>
          <w:szCs w:val="24"/>
        </w:rPr>
      </w:pPr>
      <w:r w:rsidDel="00000000" w:rsidR="00000000" w:rsidRPr="00000000">
        <w:rPr>
          <w:b w:val="1"/>
          <w:bCs w:val="1"/>
          <w:sz w:val="24"/>
          <w:szCs w:val="24"/>
          <w:rtl w:val="0"/>
        </w:rPr>
        <w:t xml:space="preserve">TERRITÓRIOS DE VULNERABILIDADE</w:t>
      </w:r>
    </w:p>
    <w:p w:rsidR="00000000" w:rsidDel="00000000" w:rsidP="00000000" w:rsidRDefault="00000000" w:rsidRPr="00000000" w14:paraId="00000004">
      <w:pPr>
        <w:spacing w:after="0" w:line="360" w:lineRule="auto"/>
        <w:ind w:left="284" w:right="6" w:firstLine="0"/>
        <w:jc w:val="center"/>
        <w:rPr>
          <w:b w:val="1"/>
          <w:bCs w:val="1"/>
          <w:sz w:val="24"/>
          <w:szCs w:val="24"/>
        </w:rPr>
      </w:pPr>
      <w:r w:rsidDel="00000000" w:rsidR="00000000" w:rsidRPr="00000000">
        <w:rPr>
          <w:rtl w:val="0"/>
        </w:rPr>
      </w:r>
    </w:p>
    <w:p w:rsidR="00000000" w:rsidDel="00000000" w:rsidP="00000000" w:rsidRDefault="00000000" w:rsidRPr="00000000" w14:paraId="00000005">
      <w:pPr>
        <w:jc w:val="both"/>
        <w:rPr>
          <w:sz w:val="24"/>
          <w:szCs w:val="24"/>
        </w:rPr>
      </w:pPr>
      <w:r w:rsidDel="00000000" w:rsidR="00000000" w:rsidRPr="00000000">
        <w:rPr>
          <w:sz w:val="24"/>
          <w:szCs w:val="24"/>
          <w:rtl w:val="0"/>
        </w:rPr>
        <w:t xml:space="preserve">A Instrução Normativa MINC Nº 10, DE 28 DE DEZEMBRO DE 2023  estabelece as regras e os procedimentos para implementação das ações afirmativas e medidas de acessibilidade de que trata o Decreto nº 11.740, de 18 de outubro de 2023, que regulamenta a Lei nº 14.399, de 08 de julho de 2022, a qual institui a Política Nacional Aldir Blanc de Fomento à Cultura, no que concerne ao Capítulo VI, em seu artigo 15°, versa sobre as medidas de desconcentração territorial e regionalização dos recursos. </w:t>
      </w:r>
    </w:p>
    <w:p w:rsidR="00000000" w:rsidDel="00000000" w:rsidP="00000000" w:rsidRDefault="00000000" w:rsidRPr="00000000" w14:paraId="00000006">
      <w:pPr>
        <w:jc w:val="both"/>
        <w:rPr>
          <w:sz w:val="24"/>
          <w:szCs w:val="24"/>
        </w:rPr>
      </w:pPr>
      <w:r w:rsidDel="00000000" w:rsidR="00000000" w:rsidRPr="00000000">
        <w:rPr>
          <w:sz w:val="24"/>
          <w:szCs w:val="24"/>
          <w:rtl w:val="0"/>
        </w:rPr>
        <w:t xml:space="preserve">Uma noção de território, a partir de qualquer abordagem, implica na participação humana, podendo ser caracterizado, portanto, como espaço geográfico histórico e socialmente construído carregando as contradições econômicas e sociais que se manifestam em desigualdades entre os territórios no acesso a políticas públicas.</w:t>
      </w:r>
    </w:p>
    <w:p w:rsidR="00000000" w:rsidDel="00000000" w:rsidP="00000000" w:rsidRDefault="00000000" w:rsidRPr="00000000" w14:paraId="00000007">
      <w:pPr>
        <w:jc w:val="both"/>
        <w:rPr>
          <w:sz w:val="24"/>
          <w:szCs w:val="24"/>
        </w:rPr>
      </w:pPr>
      <w:r w:rsidDel="00000000" w:rsidR="00000000" w:rsidRPr="00000000">
        <w:rPr>
          <w:sz w:val="24"/>
          <w:szCs w:val="24"/>
          <w:rtl w:val="0"/>
        </w:rPr>
        <w:t xml:space="preserve">No caso da cultura, do fazer cultural, as dificuldades de acesso às políticas públicas se manifestam, entre outras formas, por menos acesso a recursos financeiros, de infraestrutura e de reconhecimento às manifestações culturais locais, seja no âmbito de sua produção, de sua transmissão e também na participação de público.</w:t>
      </w:r>
    </w:p>
    <w:p w:rsidR="00000000" w:rsidDel="00000000" w:rsidP="00000000" w:rsidRDefault="00000000" w:rsidRPr="00000000" w14:paraId="00000008">
      <w:pPr>
        <w:jc w:val="both"/>
        <w:rPr>
          <w:sz w:val="24"/>
          <w:szCs w:val="24"/>
        </w:rPr>
      </w:pPr>
      <w:r w:rsidDel="00000000" w:rsidR="00000000" w:rsidRPr="00000000">
        <w:rPr>
          <w:sz w:val="24"/>
          <w:szCs w:val="24"/>
          <w:rtl w:val="0"/>
        </w:rPr>
        <w:t xml:space="preserve">O Município de São Bernardo do Campo, a partir dos dados do Censo do IBGE de 2022, apresenta a seguinte composição: população de 810.729 pessoas, com 425.380 (52,47%) mulheres; 319.971 (39,5%) se declararam pessoas negras - pretas e pardas - (</w:t>
      </w:r>
      <w:r w:rsidDel="00000000" w:rsidR="00000000" w:rsidRPr="00000000">
        <w:rPr>
          <w:b w:val="1"/>
          <w:bCs w:val="1"/>
          <w:sz w:val="24"/>
          <w:szCs w:val="24"/>
          <w:rtl w:val="0"/>
        </w:rPr>
        <w:t xml:space="preserve">sendo 58.608 se identificando como pretas e 261.363 se identificando como pardas)</w:t>
      </w:r>
      <w:r w:rsidDel="00000000" w:rsidR="00000000" w:rsidRPr="00000000">
        <w:rPr>
          <w:sz w:val="24"/>
          <w:szCs w:val="24"/>
          <w:rtl w:val="0"/>
        </w:rPr>
        <w:t xml:space="preserve">; 1.300 pessoas indígenas (0,16%); 139.158 (17,2%) pessoas acima de 60 anos; 6% de pessoas com deficiência e 1,6% de pessoas diagnosticadas com autismo.</w:t>
      </w:r>
    </w:p>
    <w:p w:rsidR="00000000" w:rsidDel="00000000" w:rsidP="00000000" w:rsidRDefault="00000000" w:rsidRPr="00000000" w14:paraId="00000009">
      <w:pPr>
        <w:jc w:val="both"/>
        <w:rPr>
          <w:sz w:val="24"/>
          <w:szCs w:val="24"/>
        </w:rPr>
      </w:pPr>
      <w:r w:rsidDel="00000000" w:rsidR="00000000" w:rsidRPr="00000000">
        <w:rPr>
          <w:sz w:val="24"/>
          <w:szCs w:val="24"/>
          <w:rtl w:val="0"/>
        </w:rPr>
        <w:t xml:space="preserve">Dos 810.729 habitantes, os dados do IBGE apontam ainda que temos 158.245 pessoas vivendo em favelas na cidade, o que representa 19,52% da população; em comparação com a média nacional, que é de 8,07% e do Estado de São Paulo, que segue a média nacional, com 8,2% da população total vivendo em favelas, temos o primeiro dado de uma realidade territorial que aponta para esta desigualdade.</w:t>
      </w:r>
    </w:p>
    <w:p w:rsidR="00000000" w:rsidDel="00000000" w:rsidP="00000000" w:rsidRDefault="00000000" w:rsidRPr="00000000" w14:paraId="0000000A">
      <w:pPr>
        <w:jc w:val="both"/>
        <w:rPr>
          <w:sz w:val="24"/>
          <w:szCs w:val="24"/>
        </w:rPr>
      </w:pPr>
      <w:r w:rsidDel="00000000" w:rsidR="00000000" w:rsidRPr="00000000">
        <w:rPr>
          <w:sz w:val="24"/>
          <w:szCs w:val="24"/>
          <w:rtl w:val="0"/>
        </w:rPr>
        <w:t xml:space="preserve">São Bernardo é a vigésima primeira cidade em número de favelas, 94, onde temos 59.225 domicílios.</w:t>
      </w:r>
    </w:p>
    <w:p w:rsidR="00000000" w:rsidDel="00000000" w:rsidP="00000000" w:rsidRDefault="00000000" w:rsidRPr="00000000" w14:paraId="0000000B">
      <w:pPr>
        <w:jc w:val="both"/>
        <w:rPr>
          <w:sz w:val="24"/>
          <w:szCs w:val="24"/>
        </w:rPr>
      </w:pPr>
      <w:r w:rsidDel="00000000" w:rsidR="00000000" w:rsidRPr="00000000">
        <w:rPr>
          <w:sz w:val="24"/>
          <w:szCs w:val="24"/>
          <w:rtl w:val="0"/>
        </w:rPr>
        <w:t xml:space="preserve">O Sistema de Análise de Dados (Fundação Seade), responsável pela produção do Índice Paulista de Vulnerabilidade Social (IPVS), agora atualizado com dados do Censo de 2022 apresenta que São Bernardo do Campo possui 243.077 moradores em condições de média, alta e muito alta vulnerabilidade social.</w:t>
      </w:r>
    </w:p>
    <w:p w:rsidR="00000000" w:rsidDel="00000000" w:rsidP="00000000" w:rsidRDefault="00000000" w:rsidRPr="00000000" w14:paraId="0000000C">
      <w:pPr>
        <w:jc w:val="both"/>
        <w:rPr>
          <w:sz w:val="24"/>
          <w:szCs w:val="24"/>
        </w:rPr>
      </w:pPr>
      <w:r w:rsidDel="00000000" w:rsidR="00000000" w:rsidRPr="00000000">
        <w:rPr>
          <w:sz w:val="24"/>
          <w:szCs w:val="24"/>
          <w:rtl w:val="0"/>
        </w:rPr>
        <w:t xml:space="preserve">A imagem abaixo representa o mapa de São Bernardo a partir das condições de vulnerabilidade social, de acordo com os setores censitários (https://ipvs.seade.gov.br/).</w:t>
      </w:r>
    </w:p>
    <w:p w:rsidR="00000000" w:rsidDel="00000000" w:rsidP="00000000" w:rsidRDefault="00000000" w:rsidRPr="00000000" w14:paraId="0000000D">
      <w:pPr>
        <w:jc w:val="both"/>
        <w:rPr>
          <w:sz w:val="24"/>
          <w:szCs w:val="24"/>
        </w:rPr>
      </w:pPr>
      <w:r w:rsidDel="00000000" w:rsidR="00000000" w:rsidRPr="00000000">
        <w:rPr>
          <w:sz w:val="24"/>
          <w:szCs w:val="24"/>
        </w:rPr>
        <w:drawing>
          <wp:inline distB="114300" distT="114300" distL="114300" distR="114300">
            <wp:extent cx="5399730" cy="2908300"/>
            <wp:effectExtent b="0" l="0" r="0" t="0"/>
            <wp:docPr id="1047451238" name="image4.jpg"/>
            <a:graphic>
              <a:graphicData uri="http://schemas.openxmlformats.org/drawingml/2006/picture">
                <pic:pic>
                  <pic:nvPicPr>
                    <pic:cNvPr id="0" name="image4.jpg"/>
                    <pic:cNvPicPr preferRelativeResize="0"/>
                  </pic:nvPicPr>
                  <pic:blipFill>
                    <a:blip r:embed="rId7"/>
                    <a:srcRect b="0" l="0" r="0" t="0"/>
                    <a:stretch>
                      <a:fillRect/>
                    </a:stretch>
                  </pic:blipFill>
                  <pic:spPr>
                    <a:xfrm>
                      <a:off x="0" y="0"/>
                      <a:ext cx="5399730" cy="2908300"/>
                    </a:xfrm>
                    <a:prstGeom prst="rect"/>
                    <a:ln/>
                  </pic:spPr>
                </pic:pic>
              </a:graphicData>
            </a:graphic>
          </wp:inline>
        </w:drawing>
      </w:r>
      <w:r w:rsidDel="00000000" w:rsidR="00000000" w:rsidRPr="00000000">
        <w:rPr>
          <w:sz w:val="24"/>
          <w:szCs w:val="24"/>
          <w:rtl w:val="0"/>
        </w:rPr>
        <w:t xml:space="preserve"> </w:t>
      </w:r>
    </w:p>
    <w:p w:rsidR="00000000" w:rsidDel="00000000" w:rsidP="00000000" w:rsidRDefault="00000000" w:rsidRPr="00000000" w14:paraId="0000000E">
      <w:pPr>
        <w:jc w:val="both"/>
        <w:rPr>
          <w:sz w:val="24"/>
          <w:szCs w:val="24"/>
        </w:rPr>
      </w:pPr>
      <w:r w:rsidDel="00000000" w:rsidR="00000000" w:rsidRPr="00000000">
        <w:rPr>
          <w:sz w:val="24"/>
          <w:szCs w:val="24"/>
          <w:rtl w:val="0"/>
        </w:rPr>
        <w:t xml:space="preserve">Ao compararmos os dados absolutos de população residindo em favelas (IBGE) e o número de pessoas vivendo em situação de média, alta e muito alta vulnerabilidade pela Secretaria social (IPVS), ampliamos a nossa territorialização para conseguir chegar ao maior número de pessoas possível e, assim, incluir regiões em áreas também consideradas como majoritariamente de baixa vulnerabilidade social. </w:t>
      </w:r>
    </w:p>
    <w:p w:rsidR="00000000" w:rsidDel="00000000" w:rsidP="00000000" w:rsidRDefault="00000000" w:rsidRPr="00000000" w14:paraId="0000000F">
      <w:pPr>
        <w:jc w:val="both"/>
        <w:rPr>
          <w:sz w:val="24"/>
          <w:szCs w:val="24"/>
        </w:rPr>
      </w:pPr>
      <w:r w:rsidDel="00000000" w:rsidR="00000000" w:rsidRPr="00000000">
        <w:rPr>
          <w:sz w:val="24"/>
          <w:szCs w:val="24"/>
          <w:rtl w:val="0"/>
        </w:rPr>
        <w:t xml:space="preserve">Para identificar o perfil socioeconômico dos bairros e suas microrregiões  usamos os dados produzidos pela Secretaria de Planejamento Urbano (</w:t>
      </w:r>
      <w:hyperlink r:id="rId8">
        <w:r w:rsidDel="00000000" w:rsidR="00000000" w:rsidRPr="00000000">
          <w:rPr>
            <w:sz w:val="24"/>
            <w:szCs w:val="24"/>
            <w:u w:val="single"/>
            <w:rtl w:val="0"/>
          </w:rPr>
          <w:t xml:space="preserve">https://www.saobernardo.sp.gov.br/perfilsocioeconomicobairros</w:t>
        </w:r>
      </w:hyperlink>
      <w:r w:rsidDel="00000000" w:rsidR="00000000" w:rsidRPr="00000000">
        <w:rPr>
          <w:sz w:val="24"/>
          <w:szCs w:val="24"/>
          <w:rtl w:val="0"/>
        </w:rPr>
        <w:t xml:space="preserve">). </w:t>
      </w:r>
    </w:p>
    <w:p w:rsidR="00000000" w:rsidDel="00000000" w:rsidP="00000000" w:rsidRDefault="00000000" w:rsidRPr="00000000" w14:paraId="00000010">
      <w:pPr>
        <w:jc w:val="both"/>
        <w:rPr>
          <w:sz w:val="24"/>
          <w:szCs w:val="24"/>
        </w:rPr>
      </w:pPr>
      <w:r w:rsidDel="00000000" w:rsidR="00000000" w:rsidRPr="00000000">
        <w:rPr>
          <w:sz w:val="24"/>
          <w:szCs w:val="24"/>
          <w:rtl w:val="0"/>
        </w:rPr>
        <w:t xml:space="preserve">Da Secretaria de Desenvolvimento Social e Cidadania obtivemos dados de perfil socioeconômico e sua distribuição territorial, por meio de relatórios públicos, como o cadastramento de famílias no Cad-Unico e os atendimentos nos Centros de Referência de Assistência Social (CRAS), que também nos permitiram amparar melhor a delimitação das regiões de vulnerabilidade.</w:t>
      </w:r>
    </w:p>
    <w:p w:rsidR="00000000" w:rsidDel="00000000" w:rsidP="00000000" w:rsidRDefault="00000000" w:rsidRPr="00000000" w14:paraId="00000011">
      <w:pPr>
        <w:jc w:val="both"/>
        <w:rPr>
          <w:sz w:val="24"/>
          <w:szCs w:val="24"/>
        </w:rPr>
      </w:pPr>
      <w:r w:rsidDel="00000000" w:rsidR="00000000" w:rsidRPr="00000000">
        <w:rPr>
          <w:sz w:val="24"/>
          <w:szCs w:val="24"/>
          <w:rtl w:val="0"/>
        </w:rPr>
        <w:t xml:space="preserve">São Bernardo possuía, em 2024, 90.026 famílias no Cadastro Único com 44% delas vivendo em situação de extrema pobreza. o Próprio relatório da Secretaria aponta que </w:t>
      </w:r>
      <w:r w:rsidDel="00000000" w:rsidR="00000000" w:rsidRPr="00000000">
        <w:rPr>
          <w:b w:val="1"/>
          <w:bCs w:val="1"/>
          <w:sz w:val="24"/>
          <w:szCs w:val="24"/>
          <w:rtl w:val="0"/>
        </w:rPr>
        <w:t xml:space="preserve">“</w:t>
      </w:r>
      <w:r w:rsidDel="00000000" w:rsidR="00000000" w:rsidRPr="00000000">
        <w:rPr>
          <w:b w:val="1"/>
          <w:bCs w:val="1"/>
          <w:i w:val="1"/>
          <w:iCs w:val="1"/>
          <w:sz w:val="24"/>
          <w:szCs w:val="24"/>
          <w:rtl w:val="0"/>
        </w:rPr>
        <w:t xml:space="preserve">A caracterização e a distribuição geográfica da população em situação de pobreza, extrema pobreza, risco e vulnerabilidade social, apresenta desigualdades e particularidades territoriais em nosso municÌpio.” </w:t>
      </w:r>
      <w:r w:rsidDel="00000000" w:rsidR="00000000" w:rsidRPr="00000000">
        <w:rPr>
          <w:rtl w:val="0"/>
        </w:rPr>
      </w:r>
    </w:p>
    <w:p w:rsidR="00000000" w:rsidDel="00000000" w:rsidP="00000000" w:rsidRDefault="00000000" w:rsidRPr="00000000" w14:paraId="00000012">
      <w:pPr>
        <w:jc w:val="both"/>
        <w:rPr>
          <w:sz w:val="24"/>
          <w:szCs w:val="24"/>
        </w:rPr>
      </w:pPr>
      <w:r w:rsidDel="00000000" w:rsidR="00000000" w:rsidRPr="00000000">
        <w:rPr>
          <w:sz w:val="24"/>
          <w:szCs w:val="24"/>
          <w:rtl w:val="0"/>
        </w:rPr>
        <w:t xml:space="preserve">(</w:t>
      </w:r>
      <w:hyperlink r:id="rId9">
        <w:r w:rsidDel="00000000" w:rsidR="00000000" w:rsidRPr="00000000">
          <w:rPr>
            <w:sz w:val="24"/>
            <w:szCs w:val="24"/>
            <w:u w:val="single"/>
            <w:rtl w:val="0"/>
          </w:rPr>
          <w:t xml:space="preserve">https://www.saobernardo.sp.gov.br/documents/10181/1938588/Relat%C3%B3rio+de+Gest%C3%A3o+-+2%C2%BA+QUADRIMESTRE-2024_SEDESC.pdf/3215ce4b-683c-15d0-a6cf-6f821d01b668</w:t>
        </w:r>
      </w:hyperlink>
      <w:r w:rsidDel="00000000" w:rsidR="00000000" w:rsidRPr="00000000">
        <w:rPr>
          <w:sz w:val="24"/>
          <w:szCs w:val="24"/>
          <w:rtl w:val="0"/>
        </w:rPr>
        <w:t xml:space="preserve"> )</w:t>
      </w:r>
    </w:p>
    <w:p w:rsidR="00000000" w:rsidDel="00000000" w:rsidP="00000000" w:rsidRDefault="00000000" w:rsidRPr="00000000" w14:paraId="00000013">
      <w:pPr>
        <w:jc w:val="both"/>
        <w:rPr>
          <w:sz w:val="24"/>
          <w:szCs w:val="24"/>
        </w:rPr>
      </w:pPr>
      <w:r w:rsidDel="00000000" w:rsidR="00000000" w:rsidRPr="00000000">
        <w:rPr>
          <w:sz w:val="24"/>
          <w:szCs w:val="24"/>
          <w:rtl w:val="0"/>
        </w:rPr>
        <w:t xml:space="preserve">Este tipo de cruzamento foi importante para identificarmos os territórios periféricos, mas também para identificar bolsões de vulnerabilidade social em regiões dotadas de infraestrutura, como no centro, por exemplo, minimizando, assim, distorções que poderiam acontecer e que resultariam na exclusão de grupos, de agentes culturais que vivem nestes bolsões.</w:t>
      </w:r>
    </w:p>
    <w:p w:rsidR="00000000" w:rsidDel="00000000" w:rsidP="00000000" w:rsidRDefault="00000000" w:rsidRPr="00000000" w14:paraId="00000014">
      <w:pPr>
        <w:jc w:val="both"/>
        <w:rPr>
          <w:sz w:val="24"/>
          <w:szCs w:val="24"/>
        </w:rPr>
      </w:pPr>
      <w:r w:rsidDel="00000000" w:rsidR="00000000" w:rsidRPr="00000000">
        <w:rPr>
          <w:sz w:val="24"/>
          <w:szCs w:val="24"/>
          <w:rtl w:val="0"/>
        </w:rPr>
        <w:t xml:space="preserve">Da mesma forma, as desigualdades de oportunidades de acesso a equipamentos públicos e recursos financeiros se manifestam na cultura, pela distribuição majoritariamente central dos equipamentos públicos de cultura, mas também apareceu no primeiro ciclo da Política Nacional Aldir Blanc.</w:t>
      </w:r>
    </w:p>
    <w:p w:rsidR="00000000" w:rsidDel="00000000" w:rsidP="00000000" w:rsidRDefault="00000000" w:rsidRPr="00000000" w14:paraId="00000015">
      <w:pPr>
        <w:jc w:val="center"/>
        <w:rPr>
          <w:sz w:val="24"/>
          <w:szCs w:val="24"/>
        </w:rPr>
      </w:pPr>
      <w:r w:rsidDel="00000000" w:rsidR="00000000" w:rsidRPr="00000000">
        <w:rPr>
          <w:sz w:val="24"/>
          <w:szCs w:val="24"/>
        </w:rPr>
        <w:drawing>
          <wp:inline distB="114300" distT="114300" distL="114300" distR="114300">
            <wp:extent cx="5399730" cy="3556000"/>
            <wp:effectExtent b="0" l="0" r="0" t="0"/>
            <wp:docPr id="1047451237" name="image3.jpg"/>
            <a:graphic>
              <a:graphicData uri="http://schemas.openxmlformats.org/drawingml/2006/picture">
                <pic:pic>
                  <pic:nvPicPr>
                    <pic:cNvPr id="0" name="image3.jpg"/>
                    <pic:cNvPicPr preferRelativeResize="0"/>
                  </pic:nvPicPr>
                  <pic:blipFill>
                    <a:blip r:embed="rId10"/>
                    <a:srcRect b="0" l="0" r="0" t="0"/>
                    <a:stretch>
                      <a:fillRect/>
                    </a:stretch>
                  </pic:blipFill>
                  <pic:spPr>
                    <a:xfrm>
                      <a:off x="0" y="0"/>
                      <a:ext cx="5399730" cy="3556000"/>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jc w:val="both"/>
        <w:rPr>
          <w:b w:val="1"/>
          <w:bCs w:val="1"/>
          <w:sz w:val="24"/>
          <w:szCs w:val="24"/>
        </w:rPr>
      </w:pPr>
      <w:r w:rsidDel="00000000" w:rsidR="00000000" w:rsidRPr="00000000">
        <w:rPr>
          <w:b w:val="1"/>
          <w:bCs w:val="1"/>
          <w:sz w:val="24"/>
          <w:szCs w:val="24"/>
          <w:rtl w:val="0"/>
        </w:rPr>
        <w:t xml:space="preserve">Mapa - Distribuição Geográfica dos Equipamentos de Cultura.</w:t>
      </w:r>
    </w:p>
    <w:p w:rsidR="00000000" w:rsidDel="00000000" w:rsidP="00000000" w:rsidRDefault="00000000" w:rsidRPr="00000000" w14:paraId="00000017">
      <w:pPr>
        <w:jc w:val="both"/>
        <w:rPr>
          <w:b w:val="1"/>
          <w:bCs w:val="1"/>
          <w:sz w:val="24"/>
          <w:szCs w:val="24"/>
        </w:rPr>
      </w:pPr>
      <w:r w:rsidDel="00000000" w:rsidR="00000000" w:rsidRPr="00000000">
        <w:rPr>
          <w:rtl w:val="0"/>
        </w:rPr>
      </w:r>
    </w:p>
    <w:p w:rsidR="00000000" w:rsidDel="00000000" w:rsidP="00000000" w:rsidRDefault="00000000" w:rsidRPr="00000000" w14:paraId="00000018">
      <w:pPr>
        <w:jc w:val="both"/>
        <w:rPr>
          <w:b w:val="1"/>
          <w:bCs w:val="1"/>
          <w:sz w:val="24"/>
          <w:szCs w:val="24"/>
        </w:rPr>
      </w:pPr>
      <w:r w:rsidDel="00000000" w:rsidR="00000000" w:rsidRPr="00000000">
        <w:rPr>
          <w:b w:val="1"/>
          <w:bCs w:val="1"/>
          <w:sz w:val="24"/>
          <w:szCs w:val="24"/>
          <w:rtl w:val="0"/>
        </w:rPr>
        <w:t xml:space="preserve">CATEGORIA 1 - FORA DE TERRITÓRIOS DE VULNERABILIDADE SOCIAL</w:t>
      </w:r>
    </w:p>
    <w:p w:rsidR="00000000" w:rsidDel="00000000" w:rsidP="00000000" w:rsidRDefault="00000000" w:rsidRPr="00000000" w14:paraId="00000019">
      <w:pPr>
        <w:numPr>
          <w:ilvl w:val="0"/>
          <w:numId w:val="3"/>
        </w:numPr>
        <w:spacing w:after="0" w:line="276" w:lineRule="auto"/>
        <w:ind w:left="1440" w:hanging="360"/>
        <w:jc w:val="both"/>
        <w:rPr>
          <w:b w:val="1"/>
          <w:bCs w:val="1"/>
          <w:sz w:val="24"/>
          <w:szCs w:val="24"/>
        </w:rPr>
      </w:pPr>
      <w:r w:rsidDel="00000000" w:rsidR="00000000" w:rsidRPr="00000000">
        <w:rPr>
          <w:b w:val="1"/>
          <w:bCs w:val="1"/>
          <w:sz w:val="24"/>
          <w:szCs w:val="24"/>
          <w:rtl w:val="0"/>
        </w:rPr>
        <w:t xml:space="preserve">Anchieta;</w:t>
      </w:r>
    </w:p>
    <w:p w:rsidR="00000000" w:rsidDel="00000000" w:rsidP="00000000" w:rsidRDefault="00000000" w:rsidRPr="00000000" w14:paraId="0000001A">
      <w:pPr>
        <w:numPr>
          <w:ilvl w:val="0"/>
          <w:numId w:val="3"/>
        </w:numPr>
        <w:spacing w:after="0" w:line="276" w:lineRule="auto"/>
        <w:ind w:left="1440" w:hanging="360"/>
        <w:jc w:val="both"/>
        <w:rPr>
          <w:sz w:val="24"/>
          <w:szCs w:val="24"/>
        </w:rPr>
      </w:pPr>
      <w:r w:rsidDel="00000000" w:rsidR="00000000" w:rsidRPr="00000000">
        <w:rPr>
          <w:b w:val="1"/>
          <w:bCs w:val="1"/>
          <w:sz w:val="24"/>
          <w:szCs w:val="24"/>
          <w:rtl w:val="0"/>
        </w:rPr>
        <w:t xml:space="preserve">Assunção:</w:t>
      </w:r>
      <w:r w:rsidDel="00000000" w:rsidR="00000000" w:rsidRPr="00000000">
        <w:rPr>
          <w:sz w:val="24"/>
          <w:szCs w:val="24"/>
          <w:rtl w:val="0"/>
        </w:rPr>
        <w:t xml:space="preserve"> Jd. Marina, Vl. Euro, Vl. Marchi, Jd. Via Anchieta, Vl. Artuélia, Jd. Anchieta, Jd. das Palmeiras, Vl. Beatriz, Vl. Lucia, Vl. Marabá, Vl. Rica, Residencial Itaparica, Conj. Residencial Amazonas;</w:t>
      </w:r>
    </w:p>
    <w:p w:rsidR="00000000" w:rsidDel="00000000" w:rsidP="00000000" w:rsidRDefault="00000000" w:rsidRPr="00000000" w14:paraId="0000001B">
      <w:pPr>
        <w:numPr>
          <w:ilvl w:val="0"/>
          <w:numId w:val="3"/>
        </w:numPr>
        <w:spacing w:after="0" w:line="276" w:lineRule="auto"/>
        <w:ind w:left="1440" w:hanging="360"/>
        <w:jc w:val="both"/>
        <w:rPr>
          <w:sz w:val="24"/>
          <w:szCs w:val="24"/>
        </w:rPr>
      </w:pPr>
      <w:r w:rsidDel="00000000" w:rsidR="00000000" w:rsidRPr="00000000">
        <w:rPr>
          <w:b w:val="1"/>
          <w:bCs w:val="1"/>
          <w:sz w:val="24"/>
          <w:szCs w:val="24"/>
          <w:rtl w:val="0"/>
        </w:rPr>
        <w:t xml:space="preserve">Baeta Neves:  </w:t>
      </w:r>
      <w:r w:rsidDel="00000000" w:rsidR="00000000" w:rsidRPr="00000000">
        <w:rPr>
          <w:sz w:val="24"/>
          <w:szCs w:val="24"/>
          <w:rtl w:val="0"/>
        </w:rPr>
        <w:t xml:space="preserve">Vila Baeta,</w:t>
      </w:r>
      <w:r w:rsidDel="00000000" w:rsidR="00000000" w:rsidRPr="00000000">
        <w:rPr>
          <w:b w:val="1"/>
          <w:bCs w:val="1"/>
          <w:sz w:val="24"/>
          <w:szCs w:val="24"/>
          <w:rtl w:val="0"/>
        </w:rPr>
        <w:t xml:space="preserve"> </w:t>
      </w:r>
      <w:r w:rsidDel="00000000" w:rsidR="00000000" w:rsidRPr="00000000">
        <w:rPr>
          <w:sz w:val="24"/>
          <w:szCs w:val="24"/>
          <w:rtl w:val="0"/>
        </w:rPr>
        <w:t xml:space="preserve">Vl. Primavera, Vl. Clarice, Vl. São Marcos, Vl. Progresso, Vl Itamarati;</w:t>
      </w:r>
    </w:p>
    <w:p w:rsidR="00000000" w:rsidDel="00000000" w:rsidP="00000000" w:rsidRDefault="00000000" w:rsidRPr="00000000" w14:paraId="0000001C">
      <w:pPr>
        <w:numPr>
          <w:ilvl w:val="0"/>
          <w:numId w:val="3"/>
        </w:numPr>
        <w:spacing w:after="0" w:line="276" w:lineRule="auto"/>
        <w:ind w:left="1440" w:hanging="360"/>
        <w:jc w:val="both"/>
        <w:rPr>
          <w:b w:val="1"/>
          <w:bCs w:val="1"/>
          <w:sz w:val="24"/>
          <w:szCs w:val="24"/>
        </w:rPr>
      </w:pPr>
      <w:r w:rsidDel="00000000" w:rsidR="00000000" w:rsidRPr="00000000">
        <w:rPr>
          <w:b w:val="1"/>
          <w:bCs w:val="1"/>
          <w:sz w:val="24"/>
          <w:szCs w:val="24"/>
          <w:rtl w:val="0"/>
        </w:rPr>
        <w:t xml:space="preserve">Centro (exceto DER/Vila das Paineiras);</w:t>
      </w:r>
    </w:p>
    <w:p w:rsidR="00000000" w:rsidDel="00000000" w:rsidP="00000000" w:rsidRDefault="00000000" w:rsidRPr="00000000" w14:paraId="0000001D">
      <w:pPr>
        <w:numPr>
          <w:ilvl w:val="0"/>
          <w:numId w:val="3"/>
        </w:numPr>
        <w:spacing w:after="0" w:line="276" w:lineRule="auto"/>
        <w:ind w:left="1440" w:hanging="360"/>
        <w:jc w:val="both"/>
        <w:rPr>
          <w:sz w:val="24"/>
          <w:szCs w:val="24"/>
        </w:rPr>
      </w:pPr>
      <w:r w:rsidDel="00000000" w:rsidR="00000000" w:rsidRPr="00000000">
        <w:rPr>
          <w:b w:val="1"/>
          <w:bCs w:val="1"/>
          <w:sz w:val="24"/>
          <w:szCs w:val="24"/>
          <w:rtl w:val="0"/>
        </w:rPr>
        <w:t xml:space="preserve">Demarchi:</w:t>
      </w:r>
      <w:r w:rsidDel="00000000" w:rsidR="00000000" w:rsidRPr="00000000">
        <w:rPr>
          <w:sz w:val="24"/>
          <w:szCs w:val="24"/>
          <w:rtl w:val="0"/>
        </w:rPr>
        <w:t xml:space="preserve"> Jardim das Quatro Marias, Jardim Bartira, Res. Morada dos Pássaros, Pq. Terranova, Cond. Terra Bonita, Cond. Residencial Mirante, Cond. Aromáz;</w:t>
      </w:r>
    </w:p>
    <w:p w:rsidR="00000000" w:rsidDel="00000000" w:rsidP="00000000" w:rsidRDefault="00000000" w:rsidRPr="00000000" w14:paraId="0000001E">
      <w:pPr>
        <w:numPr>
          <w:ilvl w:val="0"/>
          <w:numId w:val="3"/>
        </w:numPr>
        <w:spacing w:after="0" w:line="276" w:lineRule="auto"/>
        <w:ind w:left="1440" w:hanging="360"/>
        <w:jc w:val="both"/>
        <w:rPr>
          <w:sz w:val="24"/>
          <w:szCs w:val="24"/>
        </w:rPr>
      </w:pPr>
      <w:r w:rsidDel="00000000" w:rsidR="00000000" w:rsidRPr="00000000">
        <w:rPr>
          <w:b w:val="1"/>
          <w:bCs w:val="1"/>
          <w:sz w:val="24"/>
          <w:szCs w:val="24"/>
          <w:rtl w:val="0"/>
        </w:rPr>
        <w:t xml:space="preserve">Jordanópolis;</w:t>
      </w:r>
      <w:r w:rsidDel="00000000" w:rsidR="00000000" w:rsidRPr="00000000">
        <w:rPr>
          <w:rtl w:val="0"/>
        </w:rPr>
      </w:r>
    </w:p>
    <w:p w:rsidR="00000000" w:rsidDel="00000000" w:rsidP="00000000" w:rsidRDefault="00000000" w:rsidRPr="00000000" w14:paraId="0000001F">
      <w:pPr>
        <w:numPr>
          <w:ilvl w:val="0"/>
          <w:numId w:val="3"/>
        </w:numPr>
        <w:spacing w:after="0" w:line="276" w:lineRule="auto"/>
        <w:ind w:left="1440" w:hanging="360"/>
        <w:jc w:val="both"/>
        <w:rPr>
          <w:b w:val="1"/>
          <w:bCs w:val="1"/>
          <w:sz w:val="24"/>
          <w:szCs w:val="24"/>
        </w:rPr>
      </w:pPr>
      <w:r w:rsidDel="00000000" w:rsidR="00000000" w:rsidRPr="00000000">
        <w:rPr>
          <w:b w:val="1"/>
          <w:bCs w:val="1"/>
          <w:sz w:val="24"/>
          <w:szCs w:val="24"/>
          <w:rtl w:val="0"/>
        </w:rPr>
        <w:t xml:space="preserve">Nova Petrópolis; </w:t>
      </w:r>
    </w:p>
    <w:p w:rsidR="00000000" w:rsidDel="00000000" w:rsidP="00000000" w:rsidRDefault="00000000" w:rsidRPr="00000000" w14:paraId="00000020">
      <w:pPr>
        <w:numPr>
          <w:ilvl w:val="0"/>
          <w:numId w:val="3"/>
        </w:numPr>
        <w:spacing w:after="0" w:line="276" w:lineRule="auto"/>
        <w:ind w:left="1440" w:hanging="360"/>
        <w:jc w:val="both"/>
        <w:rPr>
          <w:sz w:val="24"/>
          <w:szCs w:val="24"/>
        </w:rPr>
      </w:pPr>
      <w:r w:rsidDel="00000000" w:rsidR="00000000" w:rsidRPr="00000000">
        <w:rPr>
          <w:b w:val="1"/>
          <w:bCs w:val="1"/>
          <w:sz w:val="24"/>
          <w:szCs w:val="24"/>
          <w:rtl w:val="0"/>
        </w:rPr>
        <w:t xml:space="preserve">Paulicéia;</w:t>
      </w:r>
      <w:r w:rsidDel="00000000" w:rsidR="00000000" w:rsidRPr="00000000">
        <w:rPr>
          <w:rtl w:val="0"/>
        </w:rPr>
      </w:r>
    </w:p>
    <w:p w:rsidR="00000000" w:rsidDel="00000000" w:rsidP="00000000" w:rsidRDefault="00000000" w:rsidRPr="00000000" w14:paraId="00000021">
      <w:pPr>
        <w:numPr>
          <w:ilvl w:val="0"/>
          <w:numId w:val="3"/>
        </w:numPr>
        <w:spacing w:after="0" w:line="276" w:lineRule="auto"/>
        <w:ind w:left="1440" w:hanging="360"/>
        <w:jc w:val="both"/>
        <w:rPr>
          <w:b w:val="1"/>
          <w:bCs w:val="1"/>
          <w:sz w:val="24"/>
          <w:szCs w:val="24"/>
        </w:rPr>
      </w:pPr>
      <w:r w:rsidDel="00000000" w:rsidR="00000000" w:rsidRPr="00000000">
        <w:rPr>
          <w:b w:val="1"/>
          <w:bCs w:val="1"/>
          <w:sz w:val="24"/>
          <w:szCs w:val="24"/>
          <w:rtl w:val="0"/>
        </w:rPr>
        <w:t xml:space="preserve">Planalto (Exceto Jd. Calux);</w:t>
      </w:r>
    </w:p>
    <w:p w:rsidR="00000000" w:rsidDel="00000000" w:rsidP="00000000" w:rsidRDefault="00000000" w:rsidRPr="00000000" w14:paraId="00000022">
      <w:pPr>
        <w:numPr>
          <w:ilvl w:val="0"/>
          <w:numId w:val="3"/>
        </w:numPr>
        <w:spacing w:after="0" w:line="276" w:lineRule="auto"/>
        <w:ind w:left="1440" w:hanging="360"/>
        <w:jc w:val="both"/>
        <w:rPr>
          <w:b w:val="1"/>
          <w:bCs w:val="1"/>
          <w:sz w:val="24"/>
          <w:szCs w:val="24"/>
        </w:rPr>
      </w:pPr>
      <w:r w:rsidDel="00000000" w:rsidR="00000000" w:rsidRPr="00000000">
        <w:rPr>
          <w:b w:val="1"/>
          <w:bCs w:val="1"/>
          <w:sz w:val="24"/>
          <w:szCs w:val="24"/>
          <w:rtl w:val="0"/>
        </w:rPr>
        <w:t xml:space="preserve">Rudge Ramos;</w:t>
      </w:r>
    </w:p>
    <w:p w:rsidR="00000000" w:rsidDel="00000000" w:rsidP="00000000" w:rsidRDefault="00000000" w:rsidRPr="00000000" w14:paraId="00000023">
      <w:pPr>
        <w:numPr>
          <w:ilvl w:val="0"/>
          <w:numId w:val="3"/>
        </w:numPr>
        <w:spacing w:after="0" w:line="276" w:lineRule="auto"/>
        <w:ind w:left="1440" w:hanging="360"/>
        <w:jc w:val="both"/>
        <w:rPr>
          <w:sz w:val="24"/>
          <w:szCs w:val="24"/>
        </w:rPr>
      </w:pPr>
      <w:r w:rsidDel="00000000" w:rsidR="00000000" w:rsidRPr="00000000">
        <w:rPr>
          <w:b w:val="1"/>
          <w:bCs w:val="1"/>
          <w:sz w:val="24"/>
          <w:szCs w:val="24"/>
          <w:rtl w:val="0"/>
        </w:rPr>
        <w:t xml:space="preserve">Santa Terezinha;</w:t>
      </w:r>
      <w:r w:rsidDel="00000000" w:rsidR="00000000" w:rsidRPr="00000000">
        <w:rPr>
          <w:rtl w:val="0"/>
        </w:rPr>
      </w:r>
    </w:p>
    <w:p w:rsidR="00000000" w:rsidDel="00000000" w:rsidP="00000000" w:rsidRDefault="00000000" w:rsidRPr="00000000" w14:paraId="00000024">
      <w:pPr>
        <w:numPr>
          <w:ilvl w:val="0"/>
          <w:numId w:val="3"/>
        </w:numPr>
        <w:spacing w:after="200" w:line="276" w:lineRule="auto"/>
        <w:ind w:left="1440" w:hanging="360"/>
        <w:jc w:val="both"/>
        <w:rPr>
          <w:sz w:val="24"/>
          <w:szCs w:val="24"/>
        </w:rPr>
      </w:pPr>
      <w:r w:rsidDel="00000000" w:rsidR="00000000" w:rsidRPr="00000000">
        <w:rPr>
          <w:b w:val="1"/>
          <w:bCs w:val="1"/>
          <w:sz w:val="24"/>
          <w:szCs w:val="24"/>
          <w:rtl w:val="0"/>
        </w:rPr>
        <w:t xml:space="preserve">Taboão;</w:t>
      </w:r>
      <w:r w:rsidDel="00000000" w:rsidR="00000000" w:rsidRPr="00000000">
        <w:rPr>
          <w:rtl w:val="0"/>
        </w:rPr>
      </w:r>
    </w:p>
    <w:p w:rsidR="00000000" w:rsidDel="00000000" w:rsidP="00000000" w:rsidRDefault="00000000" w:rsidRPr="00000000" w14:paraId="00000025">
      <w:pPr>
        <w:jc w:val="both"/>
        <w:rPr>
          <w:b w:val="1"/>
          <w:bCs w:val="1"/>
          <w:sz w:val="24"/>
          <w:szCs w:val="24"/>
        </w:rPr>
      </w:pPr>
      <w:r w:rsidDel="00000000" w:rsidR="00000000" w:rsidRPr="00000000">
        <w:rPr>
          <w:sz w:val="24"/>
          <w:szCs w:val="24"/>
          <w:rtl w:val="0"/>
        </w:rPr>
        <w:t xml:space="preserve">São bairros e microrregiões predominantemente dotados de boa infraestrutura e com áreas predominantemente de baixíssima, muito baixa e baixa situação de vulnerabilidade social.</w:t>
      </w:r>
      <w:r w:rsidDel="00000000" w:rsidR="00000000" w:rsidRPr="00000000">
        <w:rPr>
          <w:rtl w:val="0"/>
        </w:rPr>
      </w:r>
    </w:p>
    <w:p w:rsidR="00000000" w:rsidDel="00000000" w:rsidP="00000000" w:rsidRDefault="00000000" w:rsidRPr="00000000" w14:paraId="00000026">
      <w:pPr>
        <w:jc w:val="both"/>
        <w:rPr>
          <w:b w:val="1"/>
          <w:bCs w:val="1"/>
          <w:sz w:val="24"/>
          <w:szCs w:val="24"/>
        </w:rPr>
      </w:pPr>
      <w:r w:rsidDel="00000000" w:rsidR="00000000" w:rsidRPr="00000000">
        <w:rPr>
          <w:b w:val="1"/>
          <w:bCs w:val="1"/>
          <w:sz w:val="24"/>
          <w:szCs w:val="24"/>
          <w:rtl w:val="0"/>
        </w:rPr>
        <w:t xml:space="preserve">CATEGORIA 2 - TERRITÓRIOS DE VULNERABILIDADE SOCIAL</w:t>
      </w:r>
    </w:p>
    <w:p w:rsidR="00000000" w:rsidDel="00000000" w:rsidP="00000000" w:rsidRDefault="00000000" w:rsidRPr="00000000" w14:paraId="00000027">
      <w:pPr>
        <w:numPr>
          <w:ilvl w:val="0"/>
          <w:numId w:val="2"/>
        </w:numPr>
        <w:spacing w:after="0" w:line="276" w:lineRule="auto"/>
        <w:ind w:left="720" w:hanging="360"/>
        <w:jc w:val="both"/>
        <w:rPr>
          <w:b w:val="1"/>
          <w:bCs w:val="1"/>
          <w:sz w:val="24"/>
          <w:szCs w:val="24"/>
        </w:rPr>
      </w:pPr>
      <w:r w:rsidDel="00000000" w:rsidR="00000000" w:rsidRPr="00000000">
        <w:rPr>
          <w:b w:val="1"/>
          <w:bCs w:val="1"/>
          <w:sz w:val="24"/>
          <w:szCs w:val="24"/>
          <w:rtl w:val="0"/>
        </w:rPr>
        <w:t xml:space="preserve">ZONA URBANA: </w:t>
      </w:r>
    </w:p>
    <w:p w:rsidR="00000000" w:rsidDel="00000000" w:rsidP="00000000" w:rsidRDefault="00000000" w:rsidRPr="00000000" w14:paraId="00000028">
      <w:pPr>
        <w:numPr>
          <w:ilvl w:val="0"/>
          <w:numId w:val="4"/>
        </w:numPr>
        <w:spacing w:after="0" w:line="276" w:lineRule="auto"/>
        <w:ind w:left="1440" w:hanging="360"/>
        <w:jc w:val="both"/>
        <w:rPr>
          <w:b w:val="1"/>
          <w:bCs w:val="1"/>
          <w:sz w:val="24"/>
          <w:szCs w:val="24"/>
        </w:rPr>
      </w:pPr>
      <w:r w:rsidDel="00000000" w:rsidR="00000000" w:rsidRPr="00000000">
        <w:rPr>
          <w:b w:val="1"/>
          <w:bCs w:val="1"/>
          <w:sz w:val="24"/>
          <w:szCs w:val="24"/>
          <w:rtl w:val="0"/>
        </w:rPr>
        <w:t xml:space="preserve">Alves Dias; </w:t>
      </w:r>
    </w:p>
    <w:p w:rsidR="00000000" w:rsidDel="00000000" w:rsidP="00000000" w:rsidRDefault="00000000" w:rsidRPr="00000000" w14:paraId="00000029">
      <w:pPr>
        <w:numPr>
          <w:ilvl w:val="0"/>
          <w:numId w:val="4"/>
        </w:numPr>
        <w:spacing w:after="0" w:line="276" w:lineRule="auto"/>
        <w:ind w:left="1440" w:hanging="360"/>
        <w:jc w:val="both"/>
        <w:rPr>
          <w:sz w:val="24"/>
          <w:szCs w:val="24"/>
        </w:rPr>
      </w:pPr>
      <w:r w:rsidDel="00000000" w:rsidR="00000000" w:rsidRPr="00000000">
        <w:rPr>
          <w:b w:val="1"/>
          <w:bCs w:val="1"/>
          <w:sz w:val="24"/>
          <w:szCs w:val="24"/>
          <w:rtl w:val="0"/>
        </w:rPr>
        <w:t xml:space="preserve">Alvarenga;</w:t>
      </w:r>
      <w:r w:rsidDel="00000000" w:rsidR="00000000" w:rsidRPr="00000000">
        <w:rPr>
          <w:sz w:val="24"/>
          <w:szCs w:val="24"/>
          <w:rtl w:val="0"/>
        </w:rPr>
        <w:t xml:space="preserve"> </w:t>
      </w:r>
    </w:p>
    <w:p w:rsidR="00000000" w:rsidDel="00000000" w:rsidP="00000000" w:rsidRDefault="00000000" w:rsidRPr="00000000" w14:paraId="0000002A">
      <w:pPr>
        <w:numPr>
          <w:ilvl w:val="0"/>
          <w:numId w:val="4"/>
        </w:numPr>
        <w:spacing w:after="0" w:line="276" w:lineRule="auto"/>
        <w:ind w:left="1440" w:hanging="360"/>
        <w:jc w:val="both"/>
        <w:rPr>
          <w:sz w:val="24"/>
          <w:szCs w:val="24"/>
        </w:rPr>
      </w:pPr>
      <w:r w:rsidDel="00000000" w:rsidR="00000000" w:rsidRPr="00000000">
        <w:rPr>
          <w:b w:val="1"/>
          <w:bCs w:val="1"/>
          <w:sz w:val="24"/>
          <w:szCs w:val="24"/>
          <w:rtl w:val="0"/>
        </w:rPr>
        <w:t xml:space="preserve">Assunção:</w:t>
      </w:r>
      <w:r w:rsidDel="00000000" w:rsidR="00000000" w:rsidRPr="00000000">
        <w:rPr>
          <w:sz w:val="24"/>
          <w:szCs w:val="24"/>
          <w:rtl w:val="0"/>
        </w:rPr>
        <w:t xml:space="preserve"> Vila Flora, Vila Marininha, Vila Sacilotto, Cidade Miramar, Vila Claraval, Vila Simone, Jardim Colonial, Jardim Eliane, Parque São José, Conjunto Residencial Pombeva, Conjunto Residencial Amazonas, Conjunto Habitacional Nova Assunção, Associação Comunitária Jardim Anchieta, Pró-Mutirão Lavínia;</w:t>
      </w:r>
    </w:p>
    <w:p w:rsidR="00000000" w:rsidDel="00000000" w:rsidP="00000000" w:rsidRDefault="00000000" w:rsidRPr="00000000" w14:paraId="0000002B">
      <w:pPr>
        <w:numPr>
          <w:ilvl w:val="0"/>
          <w:numId w:val="4"/>
        </w:numPr>
        <w:spacing w:after="0" w:line="276" w:lineRule="auto"/>
        <w:ind w:left="1440" w:hanging="360"/>
        <w:jc w:val="both"/>
        <w:rPr>
          <w:sz w:val="24"/>
          <w:szCs w:val="24"/>
        </w:rPr>
      </w:pPr>
      <w:r w:rsidDel="00000000" w:rsidR="00000000" w:rsidRPr="00000000">
        <w:rPr>
          <w:b w:val="1"/>
          <w:bCs w:val="1"/>
          <w:sz w:val="24"/>
          <w:szCs w:val="24"/>
          <w:rtl w:val="0"/>
        </w:rPr>
        <w:t xml:space="preserve">Baeta Neves: </w:t>
      </w:r>
      <w:r w:rsidDel="00000000" w:rsidR="00000000" w:rsidRPr="00000000">
        <w:rPr>
          <w:sz w:val="24"/>
          <w:szCs w:val="24"/>
          <w:rtl w:val="0"/>
        </w:rPr>
        <w:t xml:space="preserve">Vila Moraes, Jardim Petroni, Sítio dos Vianas, Vila Viana, Vila Santo Agostinho, Vila Tupi, Vila Netuno, Vila Saracantan, Vila Itaperuna, Jardim Trieste, Jardim Don Alfonso, Chácara Rialto, Jardim Floral, Vila Nova Baeta, Jardim Farina, Conjunto Habitacional Metalúrgicos do ABC, Conjunto Habitacional Tulipas, Conjunto Habitacional Marajoara, Conjunto Habitacional Âncora, Vila Itamarati; </w:t>
      </w:r>
    </w:p>
    <w:p w:rsidR="00000000" w:rsidDel="00000000" w:rsidP="00000000" w:rsidRDefault="00000000" w:rsidRPr="00000000" w14:paraId="0000002C">
      <w:pPr>
        <w:numPr>
          <w:ilvl w:val="0"/>
          <w:numId w:val="4"/>
        </w:numPr>
        <w:spacing w:after="0" w:line="276" w:lineRule="auto"/>
        <w:ind w:left="1440" w:hanging="360"/>
        <w:jc w:val="both"/>
        <w:rPr>
          <w:sz w:val="24"/>
          <w:szCs w:val="24"/>
        </w:rPr>
      </w:pPr>
      <w:r w:rsidDel="00000000" w:rsidR="00000000" w:rsidRPr="00000000">
        <w:rPr>
          <w:b w:val="1"/>
          <w:bCs w:val="1"/>
          <w:sz w:val="24"/>
          <w:szCs w:val="24"/>
          <w:rtl w:val="0"/>
        </w:rPr>
        <w:t xml:space="preserve">Balneária;</w:t>
      </w:r>
      <w:r w:rsidDel="00000000" w:rsidR="00000000" w:rsidRPr="00000000">
        <w:rPr>
          <w:rtl w:val="0"/>
        </w:rPr>
      </w:r>
    </w:p>
    <w:p w:rsidR="00000000" w:rsidDel="00000000" w:rsidP="00000000" w:rsidRDefault="00000000" w:rsidRPr="00000000" w14:paraId="0000002D">
      <w:pPr>
        <w:numPr>
          <w:ilvl w:val="0"/>
          <w:numId w:val="4"/>
        </w:numPr>
        <w:spacing w:after="0" w:line="276" w:lineRule="auto"/>
        <w:ind w:left="1440" w:hanging="360"/>
        <w:jc w:val="both"/>
        <w:rPr>
          <w:b w:val="1"/>
          <w:bCs w:val="1"/>
          <w:sz w:val="24"/>
          <w:szCs w:val="24"/>
        </w:rPr>
      </w:pPr>
      <w:r w:rsidDel="00000000" w:rsidR="00000000" w:rsidRPr="00000000">
        <w:rPr>
          <w:b w:val="1"/>
          <w:bCs w:val="1"/>
          <w:sz w:val="24"/>
          <w:szCs w:val="24"/>
          <w:rtl w:val="0"/>
        </w:rPr>
        <w:t xml:space="preserve">Batistini; </w:t>
      </w:r>
    </w:p>
    <w:p w:rsidR="00000000" w:rsidDel="00000000" w:rsidP="00000000" w:rsidRDefault="00000000" w:rsidRPr="00000000" w14:paraId="0000002E">
      <w:pPr>
        <w:numPr>
          <w:ilvl w:val="0"/>
          <w:numId w:val="4"/>
        </w:numPr>
        <w:spacing w:after="0" w:line="276" w:lineRule="auto"/>
        <w:ind w:left="1440" w:hanging="360"/>
        <w:jc w:val="both"/>
        <w:rPr>
          <w:sz w:val="24"/>
          <w:szCs w:val="24"/>
        </w:rPr>
      </w:pPr>
      <w:r w:rsidDel="00000000" w:rsidR="00000000" w:rsidRPr="00000000">
        <w:rPr>
          <w:b w:val="1"/>
          <w:bCs w:val="1"/>
          <w:sz w:val="24"/>
          <w:szCs w:val="24"/>
          <w:rtl w:val="0"/>
        </w:rPr>
        <w:t xml:space="preserve">Botujuru;</w:t>
      </w:r>
      <w:r w:rsidDel="00000000" w:rsidR="00000000" w:rsidRPr="00000000">
        <w:rPr>
          <w:rtl w:val="0"/>
        </w:rPr>
      </w:r>
    </w:p>
    <w:p w:rsidR="00000000" w:rsidDel="00000000" w:rsidP="00000000" w:rsidRDefault="00000000" w:rsidRPr="00000000" w14:paraId="0000002F">
      <w:pPr>
        <w:numPr>
          <w:ilvl w:val="0"/>
          <w:numId w:val="4"/>
        </w:numPr>
        <w:spacing w:after="0" w:line="276" w:lineRule="auto"/>
        <w:ind w:left="1440" w:hanging="360"/>
        <w:jc w:val="both"/>
        <w:rPr>
          <w:b w:val="1"/>
          <w:bCs w:val="1"/>
          <w:sz w:val="24"/>
          <w:szCs w:val="24"/>
        </w:rPr>
      </w:pPr>
      <w:r w:rsidDel="00000000" w:rsidR="00000000" w:rsidRPr="00000000">
        <w:rPr>
          <w:b w:val="1"/>
          <w:bCs w:val="1"/>
          <w:sz w:val="24"/>
          <w:szCs w:val="24"/>
          <w:rtl w:val="0"/>
        </w:rPr>
        <w:t xml:space="preserve">Calux; </w:t>
      </w:r>
    </w:p>
    <w:p w:rsidR="00000000" w:rsidDel="00000000" w:rsidP="00000000" w:rsidRDefault="00000000" w:rsidRPr="00000000" w14:paraId="00000030">
      <w:pPr>
        <w:numPr>
          <w:ilvl w:val="0"/>
          <w:numId w:val="4"/>
        </w:numPr>
        <w:spacing w:after="0" w:line="276" w:lineRule="auto"/>
        <w:ind w:left="1440" w:hanging="360"/>
        <w:jc w:val="both"/>
        <w:rPr>
          <w:b w:val="1"/>
          <w:bCs w:val="1"/>
          <w:sz w:val="24"/>
          <w:szCs w:val="24"/>
        </w:rPr>
      </w:pPr>
      <w:r w:rsidDel="00000000" w:rsidR="00000000" w:rsidRPr="00000000">
        <w:rPr>
          <w:b w:val="1"/>
          <w:bCs w:val="1"/>
          <w:sz w:val="24"/>
          <w:szCs w:val="24"/>
          <w:rtl w:val="0"/>
        </w:rPr>
        <w:t xml:space="preserve">Cooperativa; </w:t>
      </w:r>
    </w:p>
    <w:p w:rsidR="00000000" w:rsidDel="00000000" w:rsidP="00000000" w:rsidRDefault="00000000" w:rsidRPr="00000000" w14:paraId="00000031">
      <w:pPr>
        <w:numPr>
          <w:ilvl w:val="0"/>
          <w:numId w:val="4"/>
        </w:numPr>
        <w:spacing w:after="0" w:line="276" w:lineRule="auto"/>
        <w:ind w:left="1440" w:hanging="360"/>
        <w:jc w:val="both"/>
        <w:rPr>
          <w:sz w:val="24"/>
          <w:szCs w:val="24"/>
        </w:rPr>
      </w:pPr>
      <w:r w:rsidDel="00000000" w:rsidR="00000000" w:rsidRPr="00000000">
        <w:rPr>
          <w:b w:val="1"/>
          <w:bCs w:val="1"/>
          <w:sz w:val="24"/>
          <w:szCs w:val="24"/>
          <w:rtl w:val="0"/>
        </w:rPr>
        <w:t xml:space="preserve">Demarchi:</w:t>
      </w:r>
      <w:r w:rsidDel="00000000" w:rsidR="00000000" w:rsidRPr="00000000">
        <w:rPr>
          <w:sz w:val="24"/>
          <w:szCs w:val="24"/>
          <w:rtl w:val="0"/>
        </w:rPr>
        <w:t xml:space="preserve"> Vila Jerusalém, Vila Tocantins, Jardim Lauro Gomes, Jardim Valdíbia, Vila Santa Angelina, Vila Judite, Vila Lúcia, Jardim Nossa Senhora de Fátima, Vila Nova Divinéia - Pantanal, Jardim Castelo Branco, A.C. União e Força - Jardim Ipê IV; Jardim Paraíso; Vila Tocantins;</w:t>
      </w:r>
    </w:p>
    <w:p w:rsidR="00000000" w:rsidDel="00000000" w:rsidP="00000000" w:rsidRDefault="00000000" w:rsidRPr="00000000" w14:paraId="00000032">
      <w:pPr>
        <w:numPr>
          <w:ilvl w:val="0"/>
          <w:numId w:val="4"/>
        </w:numPr>
        <w:spacing w:after="0" w:line="276" w:lineRule="auto"/>
        <w:ind w:left="1440" w:hanging="360"/>
        <w:jc w:val="both"/>
        <w:rPr>
          <w:sz w:val="24"/>
          <w:szCs w:val="24"/>
        </w:rPr>
      </w:pPr>
      <w:r w:rsidDel="00000000" w:rsidR="00000000" w:rsidRPr="00000000">
        <w:rPr>
          <w:b w:val="1"/>
          <w:bCs w:val="1"/>
          <w:sz w:val="24"/>
          <w:szCs w:val="24"/>
          <w:rtl w:val="0"/>
        </w:rPr>
        <w:t xml:space="preserve">DER/Vila das Paineiras;</w:t>
      </w:r>
      <w:r w:rsidDel="00000000" w:rsidR="00000000" w:rsidRPr="00000000">
        <w:rPr>
          <w:sz w:val="24"/>
          <w:szCs w:val="24"/>
          <w:rtl w:val="0"/>
        </w:rPr>
        <w:t xml:space="preserve"> </w:t>
      </w:r>
    </w:p>
    <w:p w:rsidR="00000000" w:rsidDel="00000000" w:rsidP="00000000" w:rsidRDefault="00000000" w:rsidRPr="00000000" w14:paraId="00000033">
      <w:pPr>
        <w:numPr>
          <w:ilvl w:val="0"/>
          <w:numId w:val="4"/>
        </w:numPr>
        <w:spacing w:after="0" w:line="276" w:lineRule="auto"/>
        <w:ind w:left="1440" w:hanging="360"/>
        <w:jc w:val="both"/>
        <w:rPr>
          <w:sz w:val="24"/>
          <w:szCs w:val="24"/>
        </w:rPr>
      </w:pPr>
      <w:r w:rsidDel="00000000" w:rsidR="00000000" w:rsidRPr="00000000">
        <w:rPr>
          <w:b w:val="1"/>
          <w:bCs w:val="1"/>
          <w:sz w:val="24"/>
          <w:szCs w:val="24"/>
          <w:rtl w:val="0"/>
        </w:rPr>
        <w:t xml:space="preserve">Dos Casa</w:t>
      </w:r>
      <w:r w:rsidDel="00000000" w:rsidR="00000000" w:rsidRPr="00000000">
        <w:rPr>
          <w:sz w:val="24"/>
          <w:szCs w:val="24"/>
          <w:rtl w:val="0"/>
        </w:rPr>
        <w:t xml:space="preserve">;</w:t>
      </w:r>
    </w:p>
    <w:p w:rsidR="00000000" w:rsidDel="00000000" w:rsidP="00000000" w:rsidRDefault="00000000" w:rsidRPr="00000000" w14:paraId="00000034">
      <w:pPr>
        <w:numPr>
          <w:ilvl w:val="0"/>
          <w:numId w:val="4"/>
        </w:numPr>
        <w:spacing w:after="0" w:line="276" w:lineRule="auto"/>
        <w:ind w:left="1440" w:hanging="360"/>
        <w:jc w:val="both"/>
        <w:rPr>
          <w:sz w:val="24"/>
          <w:szCs w:val="24"/>
        </w:rPr>
      </w:pPr>
      <w:r w:rsidDel="00000000" w:rsidR="00000000" w:rsidRPr="00000000">
        <w:rPr>
          <w:b w:val="1"/>
          <w:bCs w:val="1"/>
          <w:sz w:val="24"/>
          <w:szCs w:val="24"/>
          <w:rtl w:val="0"/>
        </w:rPr>
        <w:t xml:space="preserve">Dos Finco</w:t>
      </w:r>
      <w:r w:rsidDel="00000000" w:rsidR="00000000" w:rsidRPr="00000000">
        <w:rPr>
          <w:sz w:val="24"/>
          <w:szCs w:val="24"/>
          <w:rtl w:val="0"/>
        </w:rPr>
        <w:t xml:space="preserve">; </w:t>
      </w:r>
    </w:p>
    <w:p w:rsidR="00000000" w:rsidDel="00000000" w:rsidP="00000000" w:rsidRDefault="00000000" w:rsidRPr="00000000" w14:paraId="00000035">
      <w:pPr>
        <w:numPr>
          <w:ilvl w:val="0"/>
          <w:numId w:val="4"/>
        </w:numPr>
        <w:spacing w:after="0" w:line="276" w:lineRule="auto"/>
        <w:ind w:left="1440" w:hanging="360"/>
        <w:jc w:val="both"/>
        <w:rPr>
          <w:sz w:val="24"/>
          <w:szCs w:val="24"/>
        </w:rPr>
      </w:pPr>
      <w:r w:rsidDel="00000000" w:rsidR="00000000" w:rsidRPr="00000000">
        <w:rPr>
          <w:b w:val="1"/>
          <w:bCs w:val="1"/>
          <w:sz w:val="24"/>
          <w:szCs w:val="24"/>
          <w:rtl w:val="0"/>
        </w:rPr>
        <w:t xml:space="preserve">Ferrazópolis</w:t>
      </w:r>
      <w:r w:rsidDel="00000000" w:rsidR="00000000" w:rsidRPr="00000000">
        <w:rPr>
          <w:sz w:val="24"/>
          <w:szCs w:val="24"/>
          <w:rtl w:val="0"/>
        </w:rPr>
        <w:t xml:space="preserve">;</w:t>
      </w:r>
    </w:p>
    <w:p w:rsidR="00000000" w:rsidDel="00000000" w:rsidP="00000000" w:rsidRDefault="00000000" w:rsidRPr="00000000" w14:paraId="00000036">
      <w:pPr>
        <w:numPr>
          <w:ilvl w:val="0"/>
          <w:numId w:val="4"/>
        </w:numPr>
        <w:spacing w:after="0" w:line="276" w:lineRule="auto"/>
        <w:ind w:left="1440" w:hanging="360"/>
        <w:jc w:val="both"/>
        <w:rPr>
          <w:sz w:val="24"/>
          <w:szCs w:val="24"/>
        </w:rPr>
      </w:pPr>
      <w:r w:rsidDel="00000000" w:rsidR="00000000" w:rsidRPr="00000000">
        <w:rPr>
          <w:b w:val="1"/>
          <w:bCs w:val="1"/>
          <w:sz w:val="24"/>
          <w:szCs w:val="24"/>
          <w:rtl w:val="0"/>
        </w:rPr>
        <w:t xml:space="preserve">Independência</w:t>
      </w:r>
      <w:r w:rsidDel="00000000" w:rsidR="00000000" w:rsidRPr="00000000">
        <w:rPr>
          <w:sz w:val="24"/>
          <w:szCs w:val="24"/>
          <w:rtl w:val="0"/>
        </w:rPr>
        <w:t xml:space="preserve">; </w:t>
      </w:r>
    </w:p>
    <w:p w:rsidR="00000000" w:rsidDel="00000000" w:rsidP="00000000" w:rsidRDefault="00000000" w:rsidRPr="00000000" w14:paraId="00000037">
      <w:pPr>
        <w:numPr>
          <w:ilvl w:val="0"/>
          <w:numId w:val="4"/>
        </w:numPr>
        <w:spacing w:after="0" w:line="276" w:lineRule="auto"/>
        <w:ind w:left="1440" w:hanging="360"/>
        <w:jc w:val="both"/>
        <w:rPr>
          <w:sz w:val="24"/>
          <w:szCs w:val="24"/>
        </w:rPr>
      </w:pPr>
      <w:r w:rsidDel="00000000" w:rsidR="00000000" w:rsidRPr="00000000">
        <w:rPr>
          <w:b w:val="1"/>
          <w:bCs w:val="1"/>
          <w:sz w:val="24"/>
          <w:szCs w:val="24"/>
          <w:rtl w:val="0"/>
        </w:rPr>
        <w:t xml:space="preserve">Montanhão</w:t>
      </w:r>
      <w:r w:rsidDel="00000000" w:rsidR="00000000" w:rsidRPr="00000000">
        <w:rPr>
          <w:sz w:val="24"/>
          <w:szCs w:val="24"/>
          <w:rtl w:val="0"/>
        </w:rPr>
        <w:t xml:space="preserve">; </w:t>
      </w:r>
    </w:p>
    <w:p w:rsidR="00000000" w:rsidDel="00000000" w:rsidP="00000000" w:rsidRDefault="00000000" w:rsidRPr="00000000" w14:paraId="00000038">
      <w:pPr>
        <w:numPr>
          <w:ilvl w:val="0"/>
          <w:numId w:val="4"/>
        </w:numPr>
        <w:spacing w:after="0" w:line="276" w:lineRule="auto"/>
        <w:ind w:left="1440" w:hanging="360"/>
        <w:jc w:val="both"/>
        <w:rPr>
          <w:sz w:val="24"/>
          <w:szCs w:val="24"/>
        </w:rPr>
      </w:pPr>
      <w:r w:rsidDel="00000000" w:rsidR="00000000" w:rsidRPr="00000000">
        <w:rPr>
          <w:b w:val="1"/>
          <w:bCs w:val="1"/>
          <w:sz w:val="24"/>
          <w:szCs w:val="24"/>
          <w:rtl w:val="0"/>
        </w:rPr>
        <w:t xml:space="preserve">Parque São Bernardo</w:t>
      </w:r>
      <w:r w:rsidDel="00000000" w:rsidR="00000000" w:rsidRPr="00000000">
        <w:rPr>
          <w:sz w:val="24"/>
          <w:szCs w:val="24"/>
          <w:rtl w:val="0"/>
        </w:rPr>
        <w:t xml:space="preserve">;</w:t>
      </w:r>
    </w:p>
    <w:p w:rsidR="00000000" w:rsidDel="00000000" w:rsidP="00000000" w:rsidRDefault="00000000" w:rsidRPr="00000000" w14:paraId="00000039">
      <w:pPr>
        <w:numPr>
          <w:ilvl w:val="0"/>
          <w:numId w:val="4"/>
        </w:numPr>
        <w:spacing w:after="0" w:line="276" w:lineRule="auto"/>
        <w:ind w:left="1440" w:hanging="360"/>
        <w:jc w:val="both"/>
        <w:rPr>
          <w:sz w:val="24"/>
          <w:szCs w:val="24"/>
        </w:rPr>
      </w:pPr>
      <w:r w:rsidDel="00000000" w:rsidR="00000000" w:rsidRPr="00000000">
        <w:rPr>
          <w:b w:val="1"/>
          <w:bCs w:val="1"/>
          <w:sz w:val="24"/>
          <w:szCs w:val="24"/>
          <w:rtl w:val="0"/>
        </w:rPr>
        <w:t xml:space="preserve">Rio Grande</w:t>
      </w:r>
      <w:r w:rsidDel="00000000" w:rsidR="00000000" w:rsidRPr="00000000">
        <w:rPr>
          <w:sz w:val="24"/>
          <w:szCs w:val="24"/>
          <w:rtl w:val="0"/>
        </w:rPr>
        <w:t xml:space="preserve">: Parque Riacho Grande, Vila Jurubatuba, Yara Praia, Vila do Rio Grande, Jardim Dona Luiza, Parque Rio Grande, Vila Roccio, Vila Pelé; </w:t>
      </w:r>
    </w:p>
    <w:p w:rsidR="00000000" w:rsidDel="00000000" w:rsidP="00000000" w:rsidRDefault="00000000" w:rsidRPr="00000000" w14:paraId="0000003A">
      <w:pPr>
        <w:numPr>
          <w:ilvl w:val="0"/>
          <w:numId w:val="4"/>
        </w:numPr>
        <w:spacing w:after="0" w:line="276" w:lineRule="auto"/>
        <w:ind w:left="1440" w:hanging="360"/>
        <w:jc w:val="both"/>
        <w:rPr>
          <w:sz w:val="24"/>
          <w:szCs w:val="24"/>
        </w:rPr>
      </w:pPr>
      <w:r w:rsidDel="00000000" w:rsidR="00000000" w:rsidRPr="00000000">
        <w:rPr>
          <w:b w:val="1"/>
          <w:bCs w:val="1"/>
          <w:sz w:val="24"/>
          <w:szCs w:val="24"/>
          <w:rtl w:val="0"/>
        </w:rPr>
        <w:t xml:space="preserve">Saracantã;</w:t>
      </w:r>
      <w:r w:rsidDel="00000000" w:rsidR="00000000" w:rsidRPr="00000000">
        <w:rPr>
          <w:rtl w:val="0"/>
        </w:rPr>
      </w:r>
    </w:p>
    <w:p w:rsidR="00000000" w:rsidDel="00000000" w:rsidP="00000000" w:rsidRDefault="00000000" w:rsidRPr="00000000" w14:paraId="0000003B">
      <w:pPr>
        <w:numPr>
          <w:ilvl w:val="0"/>
          <w:numId w:val="4"/>
        </w:numPr>
        <w:spacing w:after="0" w:line="276" w:lineRule="auto"/>
        <w:ind w:left="1440" w:hanging="360"/>
        <w:jc w:val="both"/>
        <w:rPr>
          <w:sz w:val="24"/>
          <w:szCs w:val="24"/>
        </w:rPr>
      </w:pPr>
      <w:r w:rsidDel="00000000" w:rsidR="00000000" w:rsidRPr="00000000">
        <w:rPr>
          <w:b w:val="1"/>
          <w:bCs w:val="1"/>
          <w:sz w:val="24"/>
          <w:szCs w:val="24"/>
          <w:rtl w:val="0"/>
        </w:rPr>
        <w:t xml:space="preserve">Yrajá;</w:t>
      </w:r>
      <w:r w:rsidDel="00000000" w:rsidR="00000000" w:rsidRPr="00000000">
        <w:rPr>
          <w:rtl w:val="0"/>
        </w:rPr>
      </w:r>
    </w:p>
    <w:p w:rsidR="00000000" w:rsidDel="00000000" w:rsidP="00000000" w:rsidRDefault="00000000" w:rsidRPr="00000000" w14:paraId="0000003C">
      <w:pPr>
        <w:numPr>
          <w:ilvl w:val="0"/>
          <w:numId w:val="2"/>
        </w:numPr>
        <w:spacing w:after="0" w:line="276" w:lineRule="auto"/>
        <w:ind w:left="720" w:hanging="360"/>
        <w:jc w:val="both"/>
        <w:rPr>
          <w:b w:val="1"/>
          <w:bCs w:val="1"/>
          <w:sz w:val="24"/>
          <w:szCs w:val="24"/>
        </w:rPr>
      </w:pPr>
      <w:r w:rsidDel="00000000" w:rsidR="00000000" w:rsidRPr="00000000">
        <w:rPr>
          <w:b w:val="1"/>
          <w:bCs w:val="1"/>
          <w:sz w:val="24"/>
          <w:szCs w:val="24"/>
          <w:rtl w:val="0"/>
        </w:rPr>
        <w:t xml:space="preserve">ZONA RURAL: </w:t>
      </w:r>
    </w:p>
    <w:p w:rsidR="00000000" w:rsidDel="00000000" w:rsidP="00000000" w:rsidRDefault="00000000" w:rsidRPr="00000000" w14:paraId="0000003D">
      <w:pPr>
        <w:numPr>
          <w:ilvl w:val="0"/>
          <w:numId w:val="1"/>
        </w:numPr>
        <w:spacing w:after="0" w:line="276" w:lineRule="auto"/>
        <w:ind w:left="1440" w:hanging="360"/>
        <w:jc w:val="both"/>
        <w:rPr>
          <w:b w:val="1"/>
          <w:bCs w:val="1"/>
          <w:sz w:val="24"/>
          <w:szCs w:val="24"/>
        </w:rPr>
      </w:pPr>
      <w:r w:rsidDel="00000000" w:rsidR="00000000" w:rsidRPr="00000000">
        <w:rPr>
          <w:b w:val="1"/>
          <w:bCs w:val="1"/>
          <w:sz w:val="24"/>
          <w:szCs w:val="24"/>
          <w:rtl w:val="0"/>
        </w:rPr>
        <w:t xml:space="preserve">Alto da Serra; </w:t>
      </w:r>
    </w:p>
    <w:p w:rsidR="00000000" w:rsidDel="00000000" w:rsidP="00000000" w:rsidRDefault="00000000" w:rsidRPr="00000000" w14:paraId="0000003E">
      <w:pPr>
        <w:numPr>
          <w:ilvl w:val="0"/>
          <w:numId w:val="1"/>
        </w:numPr>
        <w:spacing w:after="0" w:line="276" w:lineRule="auto"/>
        <w:ind w:left="1440" w:hanging="360"/>
        <w:jc w:val="both"/>
        <w:rPr>
          <w:b w:val="1"/>
          <w:bCs w:val="1"/>
          <w:sz w:val="24"/>
          <w:szCs w:val="24"/>
        </w:rPr>
      </w:pPr>
      <w:r w:rsidDel="00000000" w:rsidR="00000000" w:rsidRPr="00000000">
        <w:rPr>
          <w:b w:val="1"/>
          <w:bCs w:val="1"/>
          <w:sz w:val="24"/>
          <w:szCs w:val="24"/>
          <w:rtl w:val="0"/>
        </w:rPr>
        <w:t xml:space="preserve">Capivari;</w:t>
      </w:r>
    </w:p>
    <w:p w:rsidR="00000000" w:rsidDel="00000000" w:rsidP="00000000" w:rsidRDefault="00000000" w:rsidRPr="00000000" w14:paraId="0000003F">
      <w:pPr>
        <w:numPr>
          <w:ilvl w:val="0"/>
          <w:numId w:val="1"/>
        </w:numPr>
        <w:spacing w:after="0" w:line="276" w:lineRule="auto"/>
        <w:ind w:left="1440" w:hanging="360"/>
        <w:jc w:val="both"/>
        <w:rPr>
          <w:b w:val="1"/>
          <w:bCs w:val="1"/>
          <w:sz w:val="24"/>
          <w:szCs w:val="24"/>
        </w:rPr>
      </w:pPr>
      <w:r w:rsidDel="00000000" w:rsidR="00000000" w:rsidRPr="00000000">
        <w:rPr>
          <w:b w:val="1"/>
          <w:bCs w:val="1"/>
          <w:sz w:val="24"/>
          <w:szCs w:val="24"/>
          <w:rtl w:val="0"/>
        </w:rPr>
        <w:t xml:space="preserve">Curucutu;</w:t>
      </w:r>
    </w:p>
    <w:p w:rsidR="00000000" w:rsidDel="00000000" w:rsidP="00000000" w:rsidRDefault="00000000" w:rsidRPr="00000000" w14:paraId="00000040">
      <w:pPr>
        <w:numPr>
          <w:ilvl w:val="0"/>
          <w:numId w:val="1"/>
        </w:numPr>
        <w:spacing w:after="0" w:line="276" w:lineRule="auto"/>
        <w:ind w:left="1440" w:hanging="360"/>
        <w:jc w:val="both"/>
        <w:rPr>
          <w:b w:val="1"/>
          <w:bCs w:val="1"/>
          <w:sz w:val="24"/>
          <w:szCs w:val="24"/>
        </w:rPr>
      </w:pPr>
      <w:r w:rsidDel="00000000" w:rsidR="00000000" w:rsidRPr="00000000">
        <w:rPr>
          <w:b w:val="1"/>
          <w:bCs w:val="1"/>
          <w:sz w:val="24"/>
          <w:szCs w:val="24"/>
          <w:rtl w:val="0"/>
        </w:rPr>
        <w:t xml:space="preserve">Rio Pequeno;</w:t>
      </w:r>
    </w:p>
    <w:p w:rsidR="00000000" w:rsidDel="00000000" w:rsidP="00000000" w:rsidRDefault="00000000" w:rsidRPr="00000000" w14:paraId="00000041">
      <w:pPr>
        <w:numPr>
          <w:ilvl w:val="0"/>
          <w:numId w:val="1"/>
        </w:numPr>
        <w:spacing w:after="0" w:line="276" w:lineRule="auto"/>
        <w:ind w:left="1440" w:hanging="360"/>
        <w:jc w:val="both"/>
        <w:rPr>
          <w:b w:val="1"/>
          <w:bCs w:val="1"/>
          <w:sz w:val="24"/>
          <w:szCs w:val="24"/>
        </w:rPr>
      </w:pPr>
      <w:r w:rsidDel="00000000" w:rsidR="00000000" w:rsidRPr="00000000">
        <w:rPr>
          <w:b w:val="1"/>
          <w:bCs w:val="1"/>
          <w:sz w:val="24"/>
          <w:szCs w:val="24"/>
          <w:rtl w:val="0"/>
        </w:rPr>
        <w:t xml:space="preserve">Santa Cruz;</w:t>
      </w:r>
    </w:p>
    <w:p w:rsidR="00000000" w:rsidDel="00000000" w:rsidP="00000000" w:rsidRDefault="00000000" w:rsidRPr="00000000" w14:paraId="00000042">
      <w:pPr>
        <w:numPr>
          <w:ilvl w:val="0"/>
          <w:numId w:val="1"/>
        </w:numPr>
        <w:spacing w:after="0" w:line="276" w:lineRule="auto"/>
        <w:ind w:left="1440" w:hanging="360"/>
        <w:jc w:val="both"/>
        <w:rPr>
          <w:b w:val="1"/>
          <w:bCs w:val="1"/>
          <w:sz w:val="24"/>
          <w:szCs w:val="24"/>
        </w:rPr>
      </w:pPr>
      <w:r w:rsidDel="00000000" w:rsidR="00000000" w:rsidRPr="00000000">
        <w:rPr>
          <w:b w:val="1"/>
          <w:bCs w:val="1"/>
          <w:sz w:val="24"/>
          <w:szCs w:val="24"/>
          <w:rtl w:val="0"/>
        </w:rPr>
        <w:t xml:space="preserve">Taquacetuba;</w:t>
      </w:r>
    </w:p>
    <w:p w:rsidR="00000000" w:rsidDel="00000000" w:rsidP="00000000" w:rsidRDefault="00000000" w:rsidRPr="00000000" w14:paraId="00000043">
      <w:pPr>
        <w:numPr>
          <w:ilvl w:val="0"/>
          <w:numId w:val="1"/>
        </w:numPr>
        <w:spacing w:after="0" w:line="276" w:lineRule="auto"/>
        <w:ind w:left="1440" w:hanging="360"/>
        <w:jc w:val="both"/>
        <w:rPr>
          <w:b w:val="1"/>
          <w:bCs w:val="1"/>
          <w:sz w:val="24"/>
          <w:szCs w:val="24"/>
        </w:rPr>
      </w:pPr>
      <w:r w:rsidDel="00000000" w:rsidR="00000000" w:rsidRPr="00000000">
        <w:rPr>
          <w:b w:val="1"/>
          <w:bCs w:val="1"/>
          <w:sz w:val="24"/>
          <w:szCs w:val="24"/>
          <w:rtl w:val="0"/>
        </w:rPr>
        <w:t xml:space="preserve">Tatetos;</w:t>
      </w:r>
    </w:p>
    <w:p w:rsidR="00000000" w:rsidDel="00000000" w:rsidP="00000000" w:rsidRDefault="00000000" w:rsidRPr="00000000" w14:paraId="00000044">
      <w:pPr>
        <w:numPr>
          <w:ilvl w:val="0"/>
          <w:numId w:val="1"/>
        </w:numPr>
        <w:spacing w:after="0" w:line="276" w:lineRule="auto"/>
        <w:ind w:left="1440" w:hanging="360"/>
        <w:jc w:val="both"/>
        <w:rPr>
          <w:b w:val="1"/>
          <w:bCs w:val="1"/>
          <w:sz w:val="24"/>
          <w:szCs w:val="24"/>
        </w:rPr>
      </w:pPr>
      <w:r w:rsidDel="00000000" w:rsidR="00000000" w:rsidRPr="00000000">
        <w:rPr>
          <w:b w:val="1"/>
          <w:bCs w:val="1"/>
          <w:sz w:val="24"/>
          <w:szCs w:val="24"/>
          <w:rtl w:val="0"/>
        </w:rPr>
        <w:t xml:space="preserve">Varginha; e </w:t>
      </w:r>
    </w:p>
    <w:p w:rsidR="00000000" w:rsidDel="00000000" w:rsidP="00000000" w:rsidRDefault="00000000" w:rsidRPr="00000000" w14:paraId="00000045">
      <w:pPr>
        <w:numPr>
          <w:ilvl w:val="0"/>
          <w:numId w:val="1"/>
        </w:numPr>
        <w:spacing w:after="200" w:line="276" w:lineRule="auto"/>
        <w:ind w:left="1440" w:hanging="360"/>
        <w:jc w:val="both"/>
        <w:rPr>
          <w:b w:val="1"/>
          <w:bCs w:val="1"/>
          <w:sz w:val="24"/>
          <w:szCs w:val="24"/>
        </w:rPr>
      </w:pPr>
      <w:r w:rsidDel="00000000" w:rsidR="00000000" w:rsidRPr="00000000">
        <w:rPr>
          <w:b w:val="1"/>
          <w:bCs w:val="1"/>
          <w:sz w:val="24"/>
          <w:szCs w:val="24"/>
          <w:rtl w:val="0"/>
        </w:rPr>
        <w:t xml:space="preserve">Zanzalá;</w:t>
      </w:r>
    </w:p>
    <w:p w:rsidR="00000000" w:rsidDel="00000000" w:rsidP="00000000" w:rsidRDefault="00000000" w:rsidRPr="00000000" w14:paraId="00000046">
      <w:pPr>
        <w:jc w:val="both"/>
        <w:rPr>
          <w:sz w:val="24"/>
          <w:szCs w:val="24"/>
        </w:rPr>
      </w:pPr>
      <w:r w:rsidDel="00000000" w:rsidR="00000000" w:rsidRPr="00000000">
        <w:rPr>
          <w:rtl w:val="0"/>
        </w:rPr>
      </w:r>
    </w:p>
    <w:p w:rsidR="00000000" w:rsidDel="00000000" w:rsidP="00000000" w:rsidRDefault="00000000" w:rsidRPr="00000000" w14:paraId="00000047">
      <w:pPr>
        <w:jc w:val="both"/>
        <w:rPr>
          <w:sz w:val="24"/>
          <w:szCs w:val="24"/>
        </w:rPr>
      </w:pPr>
      <w:r w:rsidDel="00000000" w:rsidR="00000000" w:rsidRPr="00000000">
        <w:rPr>
          <w:rtl w:val="0"/>
        </w:rPr>
      </w:r>
    </w:p>
    <w:p w:rsidR="00000000" w:rsidDel="00000000" w:rsidP="00000000" w:rsidRDefault="00000000" w:rsidRPr="00000000" w14:paraId="00000048">
      <w:pPr>
        <w:ind w:left="284" w:right="5" w:firstLine="0"/>
        <w:jc w:val="center"/>
        <w:rPr>
          <w:b w:val="1"/>
          <w:bCs w:val="1"/>
          <w:sz w:val="24"/>
          <w:szCs w:val="24"/>
        </w:rPr>
      </w:pPr>
      <w:r w:rsidDel="00000000" w:rsidR="00000000" w:rsidRPr="00000000">
        <w:rPr>
          <w:rtl w:val="0"/>
        </w:rPr>
      </w:r>
    </w:p>
    <w:p w:rsidR="00000000" w:rsidDel="00000000" w:rsidP="00000000" w:rsidRDefault="00000000" w:rsidRPr="00000000" w14:paraId="00000049">
      <w:pPr>
        <w:ind w:left="284" w:right="5" w:firstLine="0"/>
        <w:jc w:val="center"/>
        <w:rPr>
          <w:b w:val="1"/>
          <w:bCs w:val="1"/>
          <w:sz w:val="24"/>
          <w:szCs w:val="24"/>
        </w:rPr>
      </w:pPr>
      <w:r w:rsidDel="00000000" w:rsidR="00000000" w:rsidRPr="00000000">
        <w:rPr>
          <w:rtl w:val="0"/>
        </w:rPr>
      </w:r>
    </w:p>
    <w:sectPr>
      <w:headerReference r:id="rId11" w:type="default"/>
      <w:footerReference r:id="rId12" w:type="default"/>
      <w:pgSz w:h="16838" w:w="11906" w:orient="portrait"/>
      <w:pgMar w:bottom="1418" w:top="1418" w:left="1701" w:right="1701" w:header="709" w:footer="15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7231542" cy="960120"/>
          <wp:effectExtent b="0" l="0" r="0" t="0"/>
          <wp:docPr id="104745123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231542" cy="960120"/>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-734059</wp:posOffset>
          </wp:positionH>
          <wp:positionV relativeFrom="paragraph">
            <wp:posOffset>-99694</wp:posOffset>
          </wp:positionV>
          <wp:extent cx="2895600" cy="598597"/>
          <wp:effectExtent b="0" l="0" r="0" t="0"/>
          <wp:wrapTopAndBottom distB="0" distT="0"/>
          <wp:docPr descr="Logotipo&#10;&#10;O conteúdo gerado por IA pode estar incorreto." id="1047451235" name="image2.png"/>
          <a:graphic>
            <a:graphicData uri="http://schemas.openxmlformats.org/drawingml/2006/picture">
              <pic:pic>
                <pic:nvPicPr>
                  <pic:cNvPr descr="Logotipo&#10;&#10;O conteúdo gerado por IA pode estar incorreto." id="0" name="image2.png"/>
                  <pic:cNvPicPr preferRelativeResize="0"/>
                </pic:nvPicPr>
                <pic:blipFill>
                  <a:blip r:embed="rId1"/>
                  <a:srcRect b="0" l="0" r="0" t="0"/>
                  <a:stretch>
                    <a:fillRect/>
                  </a:stretch>
                </pic:blipFill>
                <pic:spPr>
                  <a:xfrm>
                    <a:off x="0" y="0"/>
                    <a:ext cx="2895600" cy="59859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har"/>
    <w:uiPriority w:val="9"/>
    <w:semiHidden w:val="1"/>
    <w:unhideWhenUsed w:val="1"/>
    <w:qFormat w:val="1"/>
    <w:rsid w:val="008943A7"/>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har"/>
    <w:uiPriority w:val="9"/>
    <w:semiHidden w:val="1"/>
    <w:unhideWhenUsed w:val="1"/>
    <w:qFormat w:val="1"/>
    <w:rsid w:val="008943A7"/>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har"/>
    <w:uiPriority w:val="9"/>
    <w:semiHidden w:val="1"/>
    <w:unhideWhenUsed w:val="1"/>
    <w:qFormat w:val="1"/>
    <w:rsid w:val="008943A7"/>
    <w:pPr>
      <w:keepNext w:val="1"/>
      <w:keepLines w:val="1"/>
      <w:spacing w:after="0"/>
      <w:outlineLvl w:val="8"/>
    </w:pPr>
    <w:rPr>
      <w:rFonts w:cstheme="majorBidi" w:eastAsiaTheme="majorEastAsia"/>
      <w:color w:val="272727" w:themeColor="text1" w:themeTint="0000D8"/>
    </w:rPr>
  </w:style>
  <w:style w:type="character" w:styleId="Fontepargpadro" w:default="1">
    <w:name w:val="Default Paragraph Font"/>
    <w:uiPriority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8943A7"/>
    <w:rPr>
      <w:rFonts w:asciiTheme="majorHAnsi" w:cstheme="majorBidi" w:eastAsiaTheme="majorEastAsia" w:hAnsiTheme="majorHAnsi"/>
      <w:color w:val="0f4761" w:themeColor="accent1" w:themeShade="0000BF"/>
      <w:sz w:val="40"/>
      <w:szCs w:val="40"/>
    </w:rPr>
  </w:style>
  <w:style w:type="character" w:styleId="Ttulo2Char" w:customStyle="1">
    <w:name w:val="Título 2 Char"/>
    <w:basedOn w:val="Fontepargpadro"/>
    <w:link w:val="Ttulo2"/>
    <w:uiPriority w:val="9"/>
    <w:semiHidden w:val="1"/>
    <w:rsid w:val="008943A7"/>
    <w:rPr>
      <w:rFonts w:asciiTheme="majorHAnsi" w:cstheme="majorBidi" w:eastAsiaTheme="majorEastAsia" w:hAnsiTheme="majorHAnsi"/>
      <w:color w:val="0f4761" w:themeColor="accent1" w:themeShade="0000BF"/>
      <w:sz w:val="32"/>
      <w:szCs w:val="32"/>
    </w:rPr>
  </w:style>
  <w:style w:type="character" w:styleId="Ttulo3Char" w:customStyle="1">
    <w:name w:val="Título 3 Char"/>
    <w:basedOn w:val="Fontepargpadro"/>
    <w:link w:val="Ttulo3"/>
    <w:uiPriority w:val="9"/>
    <w:semiHidden w:val="1"/>
    <w:rsid w:val="008943A7"/>
    <w:rPr>
      <w:rFonts w:cstheme="majorBidi" w:eastAsiaTheme="majorEastAsia"/>
      <w:color w:val="0f4761" w:themeColor="accent1" w:themeShade="0000BF"/>
      <w:sz w:val="28"/>
      <w:szCs w:val="28"/>
    </w:rPr>
  </w:style>
  <w:style w:type="character" w:styleId="Ttulo4Char" w:customStyle="1">
    <w:name w:val="Título 4 Char"/>
    <w:basedOn w:val="Fontepargpadro"/>
    <w:link w:val="Ttulo4"/>
    <w:uiPriority w:val="9"/>
    <w:semiHidden w:val="1"/>
    <w:rsid w:val="008943A7"/>
    <w:rPr>
      <w:rFonts w:cstheme="majorBidi" w:eastAsiaTheme="majorEastAsia"/>
      <w:i w:val="1"/>
      <w:iCs w:val="1"/>
      <w:color w:val="0f4761" w:themeColor="accent1" w:themeShade="0000BF"/>
    </w:rPr>
  </w:style>
  <w:style w:type="character" w:styleId="Ttulo5Char" w:customStyle="1">
    <w:name w:val="Título 5 Char"/>
    <w:basedOn w:val="Fontepargpadro"/>
    <w:link w:val="Ttulo5"/>
    <w:uiPriority w:val="9"/>
    <w:semiHidden w:val="1"/>
    <w:rsid w:val="008943A7"/>
    <w:rPr>
      <w:rFonts w:cstheme="majorBidi" w:eastAsiaTheme="majorEastAsia"/>
      <w:color w:val="0f4761" w:themeColor="accent1" w:themeShade="0000BF"/>
    </w:rPr>
  </w:style>
  <w:style w:type="character" w:styleId="Ttulo6Char" w:customStyle="1">
    <w:name w:val="Título 6 Char"/>
    <w:basedOn w:val="Fontepargpadro"/>
    <w:link w:val="Ttulo6"/>
    <w:uiPriority w:val="9"/>
    <w:semiHidden w:val="1"/>
    <w:rsid w:val="008943A7"/>
    <w:rPr>
      <w:rFonts w:cstheme="majorBidi" w:eastAsiaTheme="majorEastAsia"/>
      <w:i w:val="1"/>
      <w:iCs w:val="1"/>
      <w:color w:val="595959" w:themeColor="text1" w:themeTint="0000A6"/>
    </w:rPr>
  </w:style>
  <w:style w:type="character" w:styleId="Ttulo7Char" w:customStyle="1">
    <w:name w:val="Título 7 Char"/>
    <w:basedOn w:val="Fontepargpadro"/>
    <w:link w:val="Ttulo7"/>
    <w:uiPriority w:val="9"/>
    <w:semiHidden w:val="1"/>
    <w:rsid w:val="008943A7"/>
    <w:rPr>
      <w:rFonts w:cstheme="majorBidi" w:eastAsiaTheme="majorEastAsia"/>
      <w:color w:val="595959" w:themeColor="text1" w:themeTint="0000A6"/>
    </w:rPr>
  </w:style>
  <w:style w:type="character" w:styleId="Ttulo8Char" w:customStyle="1">
    <w:name w:val="Título 8 Char"/>
    <w:basedOn w:val="Fontepargpadro"/>
    <w:link w:val="Ttulo8"/>
    <w:uiPriority w:val="9"/>
    <w:semiHidden w:val="1"/>
    <w:rsid w:val="008943A7"/>
    <w:rPr>
      <w:rFonts w:cstheme="majorBidi" w:eastAsiaTheme="majorEastAsia"/>
      <w:i w:val="1"/>
      <w:iCs w:val="1"/>
      <w:color w:val="272727" w:themeColor="text1" w:themeTint="0000D8"/>
    </w:rPr>
  </w:style>
  <w:style w:type="character" w:styleId="Ttulo9Char" w:customStyle="1">
    <w:name w:val="Título 9 Char"/>
    <w:basedOn w:val="Fontepargpadro"/>
    <w:link w:val="Ttulo9"/>
    <w:uiPriority w:val="9"/>
    <w:semiHidden w:val="1"/>
    <w:rsid w:val="008943A7"/>
    <w:rPr>
      <w:rFonts w:cstheme="majorBidi" w:eastAsiaTheme="majorEastAsia"/>
      <w:color w:val="272727" w:themeColor="text1" w:themeTint="0000D8"/>
    </w:rPr>
  </w:style>
  <w:style w:type="character" w:styleId="TtuloChar" w:customStyle="1">
    <w:name w:val="Título Char"/>
    <w:basedOn w:val="Fontepargpadro"/>
    <w:link w:val="Ttulo"/>
    <w:uiPriority w:val="10"/>
    <w:rsid w:val="008943A7"/>
    <w:rPr>
      <w:rFonts w:asciiTheme="majorHAnsi" w:cstheme="majorBidi" w:eastAsiaTheme="majorEastAsia" w:hAnsiTheme="majorHAnsi"/>
      <w:spacing w:val="-10"/>
      <w:kern w:val="28"/>
      <w:sz w:val="56"/>
      <w:szCs w:val="56"/>
    </w:rPr>
  </w:style>
  <w:style w:type="character" w:styleId="SubttuloChar" w:customStyle="1">
    <w:name w:val="Subtítulo Char"/>
    <w:basedOn w:val="Fontepargpadro"/>
    <w:link w:val="Subttulo"/>
    <w:uiPriority w:val="11"/>
    <w:rsid w:val="008943A7"/>
    <w:rPr>
      <w:rFonts w:cstheme="majorBidi" w:eastAsiaTheme="majorEastAsia"/>
      <w:color w:val="595959" w:themeColor="text1" w:themeTint="0000A6"/>
      <w:spacing w:val="15"/>
      <w:sz w:val="28"/>
      <w:szCs w:val="28"/>
    </w:rPr>
  </w:style>
  <w:style w:type="paragraph" w:styleId="Citao">
    <w:name w:val="Quote"/>
    <w:basedOn w:val="Normal"/>
    <w:next w:val="Normal"/>
    <w:link w:val="CitaoChar"/>
    <w:uiPriority w:val="29"/>
    <w:qFormat w:val="1"/>
    <w:rsid w:val="008943A7"/>
    <w:pPr>
      <w:spacing w:before="160"/>
      <w:jc w:val="center"/>
    </w:pPr>
    <w:rPr>
      <w:i w:val="1"/>
      <w:iCs w:val="1"/>
      <w:color w:val="404040" w:themeColor="text1" w:themeTint="0000BF"/>
    </w:rPr>
  </w:style>
  <w:style w:type="character" w:styleId="CitaoChar" w:customStyle="1">
    <w:name w:val="Citação Char"/>
    <w:basedOn w:val="Fontepargpadro"/>
    <w:link w:val="Citao"/>
    <w:uiPriority w:val="29"/>
    <w:rsid w:val="008943A7"/>
    <w:rPr>
      <w:i w:val="1"/>
      <w:iCs w:val="1"/>
      <w:color w:val="404040" w:themeColor="text1" w:themeTint="0000BF"/>
    </w:rPr>
  </w:style>
  <w:style w:type="paragraph" w:styleId="PargrafodaLista">
    <w:name w:val="List Paragraph"/>
    <w:basedOn w:val="Normal"/>
    <w:uiPriority w:val="1"/>
    <w:qFormat w:val="1"/>
    <w:rsid w:val="008943A7"/>
    <w:pPr>
      <w:ind w:left="720"/>
      <w:contextualSpacing w:val="1"/>
    </w:pPr>
  </w:style>
  <w:style w:type="character" w:styleId="nfaseIntensa">
    <w:name w:val="Intense Emphasis"/>
    <w:basedOn w:val="Fontepargpadro"/>
    <w:uiPriority w:val="21"/>
    <w:qFormat w:val="1"/>
    <w:rsid w:val="008943A7"/>
    <w:rPr>
      <w:i w:val="1"/>
      <w:iCs w:val="1"/>
      <w:color w:val="0f4761" w:themeColor="accent1" w:themeShade="0000BF"/>
    </w:rPr>
  </w:style>
  <w:style w:type="paragraph" w:styleId="CitaoIntensa">
    <w:name w:val="Intense Quote"/>
    <w:basedOn w:val="Normal"/>
    <w:next w:val="Normal"/>
    <w:link w:val="CitaoIntensaChar"/>
    <w:uiPriority w:val="30"/>
    <w:qFormat w:val="1"/>
    <w:rsid w:val="008943A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oIntensaChar" w:customStyle="1">
    <w:name w:val="Citação Intensa Char"/>
    <w:basedOn w:val="Fontepargpadro"/>
    <w:link w:val="CitaoIntensa"/>
    <w:uiPriority w:val="30"/>
    <w:rsid w:val="008943A7"/>
    <w:rPr>
      <w:i w:val="1"/>
      <w:iCs w:val="1"/>
      <w:color w:val="0f4761" w:themeColor="accent1" w:themeShade="0000BF"/>
    </w:rPr>
  </w:style>
  <w:style w:type="character" w:styleId="RefernciaIntensa">
    <w:name w:val="Intense Reference"/>
    <w:basedOn w:val="Fontepargpadro"/>
    <w:uiPriority w:val="32"/>
    <w:qFormat w:val="1"/>
    <w:rsid w:val="008943A7"/>
    <w:rPr>
      <w:b w:val="1"/>
      <w:bCs w:val="1"/>
      <w:smallCaps w:val="1"/>
      <w:color w:val="0f4761" w:themeColor="accent1" w:themeShade="0000BF"/>
      <w:spacing w:val="5"/>
    </w:rPr>
  </w:style>
  <w:style w:type="paragraph" w:styleId="Cabealho">
    <w:name w:val="header"/>
    <w:basedOn w:val="Normal"/>
    <w:link w:val="CabealhoChar"/>
    <w:uiPriority w:val="99"/>
    <w:unhideWhenUsed w:val="1"/>
    <w:rsid w:val="009B4EE8"/>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9B4EE8"/>
  </w:style>
  <w:style w:type="paragraph" w:styleId="Rodap">
    <w:name w:val="footer"/>
    <w:basedOn w:val="Normal"/>
    <w:link w:val="RodapChar"/>
    <w:uiPriority w:val="99"/>
    <w:unhideWhenUsed w:val="1"/>
    <w:rsid w:val="009B4EE8"/>
    <w:pPr>
      <w:tabs>
        <w:tab w:val="center" w:pos="4252"/>
        <w:tab w:val="right" w:pos="8504"/>
      </w:tabs>
      <w:spacing w:after="0" w:line="240" w:lineRule="auto"/>
    </w:pPr>
  </w:style>
  <w:style w:type="character" w:styleId="RodapChar" w:customStyle="1">
    <w:name w:val="Rodapé Char"/>
    <w:basedOn w:val="Fontepargpadro"/>
    <w:link w:val="Rodap"/>
    <w:uiPriority w:val="99"/>
    <w:rsid w:val="009B4EE8"/>
  </w:style>
  <w:style w:type="paragraph" w:styleId="textocentralizadomaiusculas" w:customStyle="1">
    <w:name w:val="texto_centralizado_maiusculas"/>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paragraph" w:styleId="textojustificado" w:customStyle="1">
    <w:name w:val="texto_justificado"/>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paragraph" w:styleId="textocentralizado" w:customStyle="1">
    <w:name w:val="texto_centralizado"/>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character" w:styleId="Forte">
    <w:name w:val="Strong"/>
    <w:basedOn w:val="Fontepargpadro"/>
    <w:uiPriority w:val="22"/>
    <w:qFormat w:val="1"/>
    <w:rsid w:val="008B57A6"/>
    <w:rPr>
      <w:b w:val="1"/>
      <w:bCs w:val="1"/>
    </w:rPr>
  </w:style>
  <w:style w:type="table" w:styleId="Tabelacomgrade">
    <w:name w:val="Table Grid"/>
    <w:basedOn w:val="Tabelanormal"/>
    <w:uiPriority w:val="39"/>
    <w:rsid w:val="006E784F"/>
    <w:pPr>
      <w:spacing w:after="0" w:line="240" w:lineRule="auto"/>
    </w:pP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Corpodetexto">
    <w:name w:val="Body Text"/>
    <w:basedOn w:val="Normal"/>
    <w:link w:val="CorpodetextoChar"/>
    <w:uiPriority w:val="1"/>
    <w:qFormat w:val="1"/>
    <w:rsid w:val="00885584"/>
    <w:pPr>
      <w:widowControl w:val="0"/>
      <w:autoSpaceDE w:val="0"/>
      <w:autoSpaceDN w:val="0"/>
      <w:spacing w:after="0" w:before="200" w:line="240" w:lineRule="auto"/>
      <w:ind w:left="140"/>
      <w:jc w:val="both"/>
    </w:pPr>
    <w:rPr>
      <w:sz w:val="24"/>
      <w:szCs w:val="24"/>
      <w:lang w:eastAsia="en-US" w:val="pt-PT"/>
    </w:rPr>
  </w:style>
  <w:style w:type="character" w:styleId="CorpodetextoChar" w:customStyle="1">
    <w:name w:val="Corpo de texto Char"/>
    <w:basedOn w:val="Fontepargpadro"/>
    <w:link w:val="Corpodetexto"/>
    <w:uiPriority w:val="1"/>
    <w:rsid w:val="00885584"/>
    <w:rPr>
      <w:rFonts w:ascii="Calibri" w:cs="Calibri" w:eastAsia="Calibri" w:hAnsi="Calibri"/>
      <w:kern w:val="0"/>
      <w:sz w:val="24"/>
      <w:szCs w:val="24"/>
      <w:lang w:val="pt-PT"/>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image" Target="media/image3.jpg"/><Relationship Id="rId12" Type="http://schemas.openxmlformats.org/officeDocument/2006/relationships/footer" Target="footer1.xml"/><Relationship Id="rId9" Type="http://schemas.openxmlformats.org/officeDocument/2006/relationships/hyperlink" Target="https://www.saobernardo.sp.gov.br/documents/10181/1938588/Relat%C3%B3rio+de+Gest%C3%A3o+-+2%C2%BA+QUADRIMESTRE-2024_SEDESC.pdf/3215ce4b-683c-15d0-a6cf-6f821d01b668"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jpg"/><Relationship Id="rId8" Type="http://schemas.openxmlformats.org/officeDocument/2006/relationships/hyperlink" Target="https://www.saobernardo.sp.gov.br/perfilsocioeconomicobairro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aWDYFOsid4e0LloRSDRU46UvBA==">CgMxLjA4AHIhMWJEOWVrSHFwRUFqUVhoTm04N3V4Nk5IdnlFcDdidkxZ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2026-03-12T20:09:00Z</dcterms:created>
  <dc:creator>Daniele Sena de Almeida</dc:creator>
</cp:coreProperties>
</file>