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b w:val="1"/>
          <w:bCs w:val="1"/>
          <w:sz w:val="24"/>
          <w:szCs w:val="24"/>
          <w:rtl w:val="0"/>
        </w:rPr>
        <w:t xml:space="preserve">EDITAL DE CHAMAMENTO PÚBLICO SC Nº 16/2026 - FOMENTO AO PATRIMÔNIO E MEMÓRIA </w:t>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3">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5">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16/2026,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6">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7">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8">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A">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B">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D">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E">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1">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2">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3">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5">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6">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8">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9">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D">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E">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B">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C">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5">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6">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A">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B">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C">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D">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F">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0">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2">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3">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5">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6">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8">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9">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E">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7F">
      <w:pPr>
        <w:spacing w:after="100" w:lineRule="auto"/>
        <w:jc w:val="center"/>
        <w:rPr>
          <w:b w:val="1"/>
          <w:bCs w:val="1"/>
          <w:sz w:val="24"/>
          <w:szCs w:val="24"/>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REmid7hMwDbwApUbwIEsdtCdew==">CgMxLjA4AHIhMUlPeDZncGQtd1hLNExNOXVTRlo4allGaGh6NUFPcUpw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2026-03-12T19:53:00Z</dcterms:created>
  <dc:creator>Daniele Sena de Almeida</dc:creator>
</cp:coreProperties>
</file>