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17/2026 - FOMENTO À ECONOMIA CRIATIVA E SOLIDÁRIA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 </w:t>
      </w:r>
      <w:r w:rsidDel="00000000" w:rsidR="00000000" w:rsidRPr="00000000">
        <w:rPr>
          <w:sz w:val="24"/>
          <w:szCs w:val="24"/>
          <w:rtl w:val="0"/>
        </w:rPr>
        <w:t xml:space="preserve">SC Nº 17/2026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SC Nº 17/2026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E">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w:t>
      </w:r>
      <w:r w:rsidDel="00000000" w:rsidR="00000000" w:rsidRPr="00000000">
        <w:rPr>
          <w:sz w:val="24"/>
          <w:szCs w:val="24"/>
          <w:rtl w:val="0"/>
        </w:rPr>
        <w:t xml:space="preserve">SC Nº 17/2026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17/2026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7">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vm3//l+EX20oQFKomW3jT0BpFg==">CgMxLjA4AHIhMWFTNkdMRnQtN21QQmpvamlhSExkTUhrRXVWUjdRanNH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2026-03-12T20:01:00Z</dcterms:created>
  <dc:creator>Daniele Sena de Almeida</dc:creator>
</cp:coreProperties>
</file>